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B3D88" w14:textId="5920C4B2" w:rsidR="000E63BE" w:rsidRDefault="000E63BE" w:rsidP="0087116C">
      <w:pPr>
        <w:spacing w:line="360" w:lineRule="auto"/>
        <w:rPr>
          <w:color w:val="009193"/>
          <w:sz w:val="96"/>
          <w:szCs w:val="96"/>
        </w:rPr>
      </w:pPr>
      <w:bookmarkStart w:id="0" w:name="_GoBack"/>
      <w:bookmarkEnd w:id="0"/>
    </w:p>
    <w:p w14:paraId="18C4594F" w14:textId="77777777" w:rsidR="00472281" w:rsidRPr="000E63BE" w:rsidRDefault="000E63BE" w:rsidP="0087116C">
      <w:pPr>
        <w:spacing w:line="360" w:lineRule="auto"/>
        <w:jc w:val="center"/>
        <w:rPr>
          <w:color w:val="009193"/>
          <w:sz w:val="96"/>
          <w:szCs w:val="96"/>
        </w:rPr>
      </w:pPr>
      <w:r w:rsidRPr="000E63BE">
        <w:rPr>
          <w:color w:val="009193"/>
          <w:sz w:val="96"/>
          <w:szCs w:val="96"/>
        </w:rPr>
        <w:t>JADD Strategic Plan</w:t>
      </w:r>
    </w:p>
    <w:p w14:paraId="3FA2E971" w14:textId="77777777" w:rsidR="005F0E9E" w:rsidRDefault="005F0E9E" w:rsidP="0087116C">
      <w:pPr>
        <w:spacing w:line="360" w:lineRule="auto"/>
        <w:jc w:val="center"/>
        <w:rPr>
          <w:sz w:val="52"/>
          <w:szCs w:val="52"/>
        </w:rPr>
      </w:pPr>
    </w:p>
    <w:p w14:paraId="67E2614D" w14:textId="5826875C" w:rsidR="005F0E9E" w:rsidRDefault="00993EF9" w:rsidP="0087116C">
      <w:pPr>
        <w:spacing w:line="360" w:lineRule="auto"/>
        <w:jc w:val="center"/>
        <w:rPr>
          <w:sz w:val="52"/>
          <w:szCs w:val="52"/>
        </w:rPr>
      </w:pPr>
      <w:r>
        <w:rPr>
          <w:sz w:val="52"/>
          <w:szCs w:val="52"/>
        </w:rPr>
        <w:t xml:space="preserve">April  </w:t>
      </w:r>
      <w:r w:rsidR="005F0E9E">
        <w:rPr>
          <w:sz w:val="52"/>
          <w:szCs w:val="52"/>
        </w:rPr>
        <w:t>202</w:t>
      </w:r>
      <w:r w:rsidR="00144B9F">
        <w:rPr>
          <w:sz w:val="52"/>
          <w:szCs w:val="52"/>
        </w:rPr>
        <w:t>3</w:t>
      </w:r>
    </w:p>
    <w:p w14:paraId="72BBAB39" w14:textId="77777777" w:rsidR="00D82DF2" w:rsidRDefault="00D82DF2" w:rsidP="0087116C">
      <w:pPr>
        <w:spacing w:line="360" w:lineRule="auto"/>
        <w:rPr>
          <w:sz w:val="52"/>
          <w:szCs w:val="52"/>
        </w:rPr>
      </w:pPr>
    </w:p>
    <w:p w14:paraId="24A4AB43" w14:textId="77777777" w:rsidR="00D82DF2" w:rsidRDefault="00F13D08" w:rsidP="0087116C">
      <w:pPr>
        <w:spacing w:line="360" w:lineRule="auto"/>
        <w:jc w:val="right"/>
        <w:rPr>
          <w:sz w:val="52"/>
          <w:szCs w:val="52"/>
        </w:rPr>
      </w:pPr>
      <w:r>
        <w:rPr>
          <w:noProof/>
          <w:sz w:val="52"/>
          <w:szCs w:val="52"/>
          <w:lang w:eastAsia="en-IE"/>
        </w:rPr>
        <w:drawing>
          <wp:inline distT="0" distB="0" distL="0" distR="0" wp14:anchorId="64CF6AA9" wp14:editId="043BC2DE">
            <wp:extent cx="4561114" cy="95727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known-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87477" cy="962804"/>
                    </a:xfrm>
                    <a:prstGeom prst="rect">
                      <a:avLst/>
                    </a:prstGeom>
                  </pic:spPr>
                </pic:pic>
              </a:graphicData>
            </a:graphic>
          </wp:inline>
        </w:drawing>
      </w:r>
    </w:p>
    <w:p w14:paraId="5C4ADF10" w14:textId="77777777" w:rsidR="000E63BE" w:rsidRDefault="000E63BE" w:rsidP="0087116C">
      <w:pPr>
        <w:spacing w:line="360" w:lineRule="auto"/>
        <w:rPr>
          <w:rFonts w:eastAsia="MS Gothic" w:cstheme="majorBidi"/>
          <w:bCs/>
          <w:color w:val="31849B"/>
          <w:sz w:val="26"/>
          <w:szCs w:val="26"/>
        </w:rPr>
      </w:pPr>
      <w:r>
        <w:br w:type="page"/>
      </w:r>
    </w:p>
    <w:p w14:paraId="3F5C4BB8" w14:textId="77777777" w:rsidR="000E63BE" w:rsidRPr="0087116C" w:rsidRDefault="000E63BE" w:rsidP="0087116C">
      <w:pPr>
        <w:spacing w:line="360" w:lineRule="auto"/>
        <w:rPr>
          <w:color w:val="009193"/>
          <w:sz w:val="32"/>
          <w:szCs w:val="32"/>
        </w:rPr>
      </w:pPr>
      <w:r w:rsidRPr="000E63BE">
        <w:rPr>
          <w:color w:val="009193"/>
          <w:sz w:val="32"/>
          <w:szCs w:val="32"/>
        </w:rPr>
        <w:lastRenderedPageBreak/>
        <w:t xml:space="preserve">Contents </w:t>
      </w:r>
    </w:p>
    <w:p w14:paraId="1F004B0E" w14:textId="168E7A4E" w:rsidR="0087116C" w:rsidRPr="00581306" w:rsidRDefault="0087116C">
      <w:pPr>
        <w:pStyle w:val="TOC1"/>
        <w:rPr>
          <w:rFonts w:eastAsiaTheme="minorEastAsia" w:cstheme="minorBidi"/>
          <w:noProof/>
          <w:sz w:val="24"/>
          <w:szCs w:val="24"/>
          <w:lang w:val="en-GB"/>
        </w:rPr>
      </w:pPr>
      <w:r w:rsidRPr="00581306">
        <w:rPr>
          <w:noProof/>
        </w:rPr>
        <w:t>1</w:t>
      </w:r>
      <w:r w:rsidRPr="00581306">
        <w:rPr>
          <w:rFonts w:eastAsiaTheme="minorEastAsia" w:cstheme="minorBidi"/>
          <w:noProof/>
          <w:sz w:val="24"/>
          <w:szCs w:val="24"/>
          <w:lang w:val="en-GB"/>
        </w:rPr>
        <w:tab/>
      </w:r>
      <w:r w:rsidRPr="00581306">
        <w:rPr>
          <w:noProof/>
        </w:rPr>
        <w:t>Introduction</w:t>
      </w:r>
      <w:r w:rsidRPr="00581306">
        <w:rPr>
          <w:noProof/>
        </w:rPr>
        <w:tab/>
        <w:t>3</w:t>
      </w:r>
    </w:p>
    <w:p w14:paraId="694C2BB4" w14:textId="7D573478" w:rsidR="0087116C" w:rsidRPr="00581306" w:rsidRDefault="0087116C" w:rsidP="00C629AA">
      <w:pPr>
        <w:pStyle w:val="TOC2"/>
        <w:rPr>
          <w:rFonts w:eastAsiaTheme="minorEastAsia" w:cstheme="minorBidi"/>
          <w:noProof/>
          <w:sz w:val="24"/>
          <w:szCs w:val="24"/>
          <w:lang w:val="en-GB"/>
        </w:rPr>
      </w:pPr>
      <w:r w:rsidRPr="00581306">
        <w:rPr>
          <w:noProof/>
        </w:rPr>
        <w:t>1.1</w:t>
      </w:r>
      <w:r w:rsidRPr="00581306">
        <w:rPr>
          <w:rFonts w:eastAsiaTheme="minorEastAsia" w:cstheme="minorBidi"/>
          <w:noProof/>
          <w:sz w:val="24"/>
          <w:szCs w:val="24"/>
          <w:lang w:val="en-GB"/>
        </w:rPr>
        <w:tab/>
      </w:r>
      <w:r w:rsidRPr="00581306">
        <w:rPr>
          <w:noProof/>
        </w:rPr>
        <w:t>Vision</w:t>
      </w:r>
      <w:r w:rsidRPr="00581306">
        <w:rPr>
          <w:noProof/>
        </w:rPr>
        <w:tab/>
        <w:t>3</w:t>
      </w:r>
    </w:p>
    <w:p w14:paraId="2A358D81" w14:textId="2BF94605" w:rsidR="0087116C" w:rsidRPr="00581306" w:rsidRDefault="0087116C" w:rsidP="00C629AA">
      <w:pPr>
        <w:pStyle w:val="TOC2"/>
        <w:rPr>
          <w:rFonts w:eastAsiaTheme="minorEastAsia" w:cstheme="minorBidi"/>
          <w:noProof/>
          <w:sz w:val="24"/>
          <w:szCs w:val="24"/>
          <w:lang w:val="en-GB"/>
        </w:rPr>
      </w:pPr>
      <w:r w:rsidRPr="00581306">
        <w:rPr>
          <w:noProof/>
        </w:rPr>
        <w:t>1.2</w:t>
      </w:r>
      <w:r w:rsidRPr="00581306">
        <w:rPr>
          <w:rFonts w:eastAsiaTheme="minorEastAsia" w:cstheme="minorBidi"/>
          <w:noProof/>
          <w:sz w:val="24"/>
          <w:szCs w:val="24"/>
          <w:lang w:val="en-GB"/>
        </w:rPr>
        <w:tab/>
      </w:r>
      <w:r w:rsidRPr="00581306">
        <w:rPr>
          <w:noProof/>
        </w:rPr>
        <w:t>Mission</w:t>
      </w:r>
      <w:r w:rsidRPr="00581306">
        <w:rPr>
          <w:noProof/>
        </w:rPr>
        <w:tab/>
        <w:t>3</w:t>
      </w:r>
    </w:p>
    <w:p w14:paraId="63826407" w14:textId="0E88CFB6" w:rsidR="0087116C" w:rsidRPr="00581306" w:rsidRDefault="0087116C" w:rsidP="00C629AA">
      <w:pPr>
        <w:pStyle w:val="TOC2"/>
        <w:rPr>
          <w:rFonts w:eastAsiaTheme="minorEastAsia" w:cstheme="minorBidi"/>
          <w:noProof/>
          <w:sz w:val="24"/>
          <w:szCs w:val="24"/>
          <w:lang w:val="en-GB"/>
        </w:rPr>
      </w:pPr>
      <w:r w:rsidRPr="00581306">
        <w:rPr>
          <w:noProof/>
        </w:rPr>
        <w:t>1.3</w:t>
      </w:r>
      <w:r w:rsidRPr="00581306">
        <w:rPr>
          <w:rFonts w:eastAsiaTheme="minorEastAsia" w:cstheme="minorBidi"/>
          <w:noProof/>
          <w:sz w:val="24"/>
          <w:szCs w:val="24"/>
          <w:lang w:val="en-GB"/>
        </w:rPr>
        <w:tab/>
      </w:r>
      <w:r w:rsidRPr="00581306">
        <w:rPr>
          <w:noProof/>
        </w:rPr>
        <w:t>Values</w:t>
      </w:r>
      <w:r w:rsidRPr="00581306">
        <w:rPr>
          <w:noProof/>
        </w:rPr>
        <w:tab/>
        <w:t>3</w:t>
      </w:r>
    </w:p>
    <w:p w14:paraId="1C445C67" w14:textId="1B8E1ADC" w:rsidR="0087116C" w:rsidRPr="00581306" w:rsidRDefault="0087116C" w:rsidP="00C629AA">
      <w:pPr>
        <w:pStyle w:val="TOC2"/>
        <w:rPr>
          <w:rFonts w:eastAsiaTheme="minorEastAsia" w:cstheme="minorBidi"/>
          <w:noProof/>
          <w:sz w:val="24"/>
          <w:szCs w:val="24"/>
          <w:lang w:val="en-GB"/>
        </w:rPr>
      </w:pPr>
      <w:r w:rsidRPr="00581306">
        <w:rPr>
          <w:noProof/>
        </w:rPr>
        <w:t>1.4</w:t>
      </w:r>
      <w:r w:rsidRPr="00581306">
        <w:rPr>
          <w:rFonts w:eastAsiaTheme="minorEastAsia" w:cstheme="minorBidi"/>
          <w:noProof/>
          <w:sz w:val="24"/>
          <w:szCs w:val="24"/>
          <w:lang w:val="en-GB"/>
        </w:rPr>
        <w:tab/>
      </w:r>
      <w:r w:rsidRPr="00581306">
        <w:rPr>
          <w:noProof/>
        </w:rPr>
        <w:t>Our History</w:t>
      </w:r>
      <w:r w:rsidRPr="00581306">
        <w:rPr>
          <w:noProof/>
        </w:rPr>
        <w:tab/>
        <w:t>3</w:t>
      </w:r>
    </w:p>
    <w:p w14:paraId="05999890" w14:textId="60F7381D" w:rsidR="0087116C" w:rsidRPr="00581306" w:rsidRDefault="0087116C" w:rsidP="00C629AA">
      <w:pPr>
        <w:pStyle w:val="TOC2"/>
        <w:rPr>
          <w:rFonts w:eastAsiaTheme="minorEastAsia" w:cstheme="minorBidi"/>
          <w:noProof/>
          <w:sz w:val="24"/>
          <w:szCs w:val="24"/>
          <w:lang w:val="en-GB"/>
        </w:rPr>
      </w:pPr>
      <w:r w:rsidRPr="00581306">
        <w:rPr>
          <w:bCs/>
          <w:noProof/>
        </w:rPr>
        <w:t>1.1</w:t>
      </w:r>
      <w:r w:rsidRPr="00581306">
        <w:rPr>
          <w:rFonts w:eastAsiaTheme="minorEastAsia" w:cstheme="minorBidi"/>
          <w:noProof/>
          <w:sz w:val="24"/>
          <w:szCs w:val="24"/>
          <w:lang w:val="en-GB"/>
        </w:rPr>
        <w:tab/>
      </w:r>
      <w:r w:rsidRPr="00581306">
        <w:rPr>
          <w:noProof/>
        </w:rPr>
        <w:t>Our Services</w:t>
      </w:r>
      <w:r w:rsidRPr="00581306">
        <w:rPr>
          <w:noProof/>
        </w:rPr>
        <w:tab/>
        <w:t>4</w:t>
      </w:r>
    </w:p>
    <w:p w14:paraId="707E882D" w14:textId="5EA925FD" w:rsidR="0087116C" w:rsidRPr="00581306" w:rsidRDefault="0087116C" w:rsidP="00C629AA">
      <w:pPr>
        <w:pStyle w:val="TOC2"/>
        <w:rPr>
          <w:rFonts w:eastAsiaTheme="minorEastAsia" w:cstheme="minorBidi"/>
          <w:noProof/>
          <w:sz w:val="24"/>
          <w:szCs w:val="24"/>
          <w:lang w:val="en-GB"/>
        </w:rPr>
      </w:pPr>
      <w:r w:rsidRPr="00581306">
        <w:rPr>
          <w:noProof/>
        </w:rPr>
        <w:t>1.5</w:t>
      </w:r>
      <w:r w:rsidRPr="00581306">
        <w:rPr>
          <w:rFonts w:eastAsiaTheme="minorEastAsia" w:cstheme="minorBidi"/>
          <w:noProof/>
          <w:sz w:val="24"/>
          <w:szCs w:val="24"/>
          <w:lang w:val="en-GB"/>
        </w:rPr>
        <w:tab/>
      </w:r>
      <w:r w:rsidRPr="00581306">
        <w:rPr>
          <w:noProof/>
        </w:rPr>
        <w:t>Our Governing Board</w:t>
      </w:r>
      <w:r w:rsidRPr="00581306">
        <w:rPr>
          <w:noProof/>
        </w:rPr>
        <w:tab/>
        <w:t>4</w:t>
      </w:r>
    </w:p>
    <w:p w14:paraId="413B2B92" w14:textId="52E03541" w:rsidR="0087116C" w:rsidRPr="00581306" w:rsidRDefault="0087116C" w:rsidP="00C629AA">
      <w:pPr>
        <w:pStyle w:val="TOC2"/>
        <w:rPr>
          <w:rFonts w:eastAsiaTheme="minorEastAsia" w:cstheme="minorBidi"/>
          <w:noProof/>
          <w:sz w:val="24"/>
          <w:szCs w:val="24"/>
          <w:lang w:val="en-GB"/>
        </w:rPr>
      </w:pPr>
      <w:r w:rsidRPr="00581306">
        <w:rPr>
          <w:noProof/>
        </w:rPr>
        <w:t>1.6</w:t>
      </w:r>
      <w:r w:rsidRPr="00581306">
        <w:rPr>
          <w:rFonts w:eastAsiaTheme="minorEastAsia" w:cstheme="minorBidi"/>
          <w:noProof/>
          <w:sz w:val="24"/>
          <w:szCs w:val="24"/>
          <w:lang w:val="en-GB"/>
        </w:rPr>
        <w:tab/>
      </w:r>
      <w:r w:rsidRPr="00581306">
        <w:rPr>
          <w:noProof/>
        </w:rPr>
        <w:t>An Introduction to the Jobstown Area</w:t>
      </w:r>
      <w:r w:rsidRPr="00581306">
        <w:rPr>
          <w:noProof/>
        </w:rPr>
        <w:tab/>
        <w:t>5</w:t>
      </w:r>
    </w:p>
    <w:p w14:paraId="16035862" w14:textId="084CB31E" w:rsidR="0087116C" w:rsidRPr="00581306" w:rsidRDefault="0087116C" w:rsidP="00C629AA">
      <w:pPr>
        <w:pStyle w:val="TOC2"/>
        <w:rPr>
          <w:rFonts w:eastAsiaTheme="minorEastAsia" w:cstheme="minorBidi"/>
          <w:noProof/>
          <w:sz w:val="24"/>
          <w:szCs w:val="24"/>
          <w:lang w:val="en-GB"/>
        </w:rPr>
      </w:pPr>
      <w:r w:rsidRPr="00581306">
        <w:rPr>
          <w:noProof/>
        </w:rPr>
        <w:t>1.7</w:t>
      </w:r>
      <w:r w:rsidRPr="00581306">
        <w:rPr>
          <w:rFonts w:eastAsiaTheme="minorEastAsia" w:cstheme="minorBidi"/>
          <w:noProof/>
          <w:sz w:val="24"/>
          <w:szCs w:val="24"/>
          <w:lang w:val="en-GB"/>
        </w:rPr>
        <w:tab/>
      </w:r>
      <w:r w:rsidRPr="00581306">
        <w:rPr>
          <w:noProof/>
        </w:rPr>
        <w:t>National, Regional, and Local Trends in Drug Use</w:t>
      </w:r>
      <w:r w:rsidRPr="00581306">
        <w:rPr>
          <w:noProof/>
        </w:rPr>
        <w:tab/>
        <w:t>6</w:t>
      </w:r>
    </w:p>
    <w:p w14:paraId="19626100" w14:textId="17FA794F" w:rsidR="0087116C" w:rsidRPr="00581306" w:rsidRDefault="0087116C" w:rsidP="00C629AA">
      <w:pPr>
        <w:pStyle w:val="TOC2"/>
        <w:rPr>
          <w:rFonts w:eastAsiaTheme="minorEastAsia" w:cstheme="minorBidi"/>
          <w:noProof/>
          <w:sz w:val="24"/>
          <w:szCs w:val="24"/>
          <w:lang w:val="en-GB"/>
        </w:rPr>
      </w:pPr>
      <w:r w:rsidRPr="00581306">
        <w:rPr>
          <w:noProof/>
        </w:rPr>
        <w:t>1.8</w:t>
      </w:r>
      <w:r w:rsidRPr="00581306">
        <w:rPr>
          <w:rFonts w:eastAsiaTheme="minorEastAsia" w:cstheme="minorBidi"/>
          <w:noProof/>
          <w:sz w:val="24"/>
          <w:szCs w:val="24"/>
          <w:lang w:val="en-GB"/>
        </w:rPr>
        <w:tab/>
      </w:r>
      <w:r w:rsidRPr="00581306">
        <w:rPr>
          <w:noProof/>
        </w:rPr>
        <w:t>The National Drug Strategy, 2017-2025</w:t>
      </w:r>
      <w:r w:rsidRPr="00581306">
        <w:rPr>
          <w:noProof/>
        </w:rPr>
        <w:tab/>
        <w:t>7</w:t>
      </w:r>
    </w:p>
    <w:p w14:paraId="6E2FF5B8" w14:textId="31CA91CB" w:rsidR="0087116C" w:rsidRPr="00581306" w:rsidRDefault="0087116C" w:rsidP="00C629AA">
      <w:pPr>
        <w:pStyle w:val="TOC2"/>
        <w:rPr>
          <w:rFonts w:eastAsiaTheme="minorEastAsia" w:cstheme="minorBidi"/>
          <w:noProof/>
          <w:sz w:val="24"/>
          <w:szCs w:val="24"/>
          <w:lang w:val="en-GB"/>
        </w:rPr>
      </w:pPr>
      <w:r w:rsidRPr="00581306">
        <w:rPr>
          <w:noProof/>
        </w:rPr>
        <w:t>1.9</w:t>
      </w:r>
      <w:r w:rsidRPr="00581306">
        <w:rPr>
          <w:rFonts w:eastAsiaTheme="minorEastAsia" w:cstheme="minorBidi"/>
          <w:noProof/>
          <w:sz w:val="24"/>
          <w:szCs w:val="24"/>
          <w:lang w:val="en-GB"/>
        </w:rPr>
        <w:tab/>
      </w:r>
      <w:r w:rsidRPr="00581306">
        <w:rPr>
          <w:noProof/>
        </w:rPr>
        <w:t>The Tallaght Drug and Alcohol Task Force</w:t>
      </w:r>
      <w:r w:rsidRPr="00581306">
        <w:rPr>
          <w:noProof/>
        </w:rPr>
        <w:tab/>
        <w:t>8</w:t>
      </w:r>
    </w:p>
    <w:p w14:paraId="40F280F1" w14:textId="60E5F4B8" w:rsidR="0087116C" w:rsidRPr="00581306" w:rsidRDefault="0087116C">
      <w:pPr>
        <w:pStyle w:val="TOC1"/>
        <w:rPr>
          <w:rFonts w:eastAsiaTheme="minorEastAsia" w:cstheme="minorBidi"/>
          <w:noProof/>
          <w:sz w:val="24"/>
          <w:szCs w:val="24"/>
          <w:lang w:val="en-GB"/>
        </w:rPr>
      </w:pPr>
      <w:r w:rsidRPr="00581306">
        <w:rPr>
          <w:noProof/>
        </w:rPr>
        <w:t>2</w:t>
      </w:r>
      <w:r w:rsidRPr="00581306">
        <w:rPr>
          <w:rFonts w:eastAsiaTheme="minorEastAsia" w:cstheme="minorBidi"/>
          <w:noProof/>
          <w:sz w:val="24"/>
          <w:szCs w:val="24"/>
          <w:lang w:val="en-GB"/>
        </w:rPr>
        <w:tab/>
      </w:r>
      <w:r w:rsidRPr="00581306">
        <w:rPr>
          <w:noProof/>
        </w:rPr>
        <w:t>Issues Facing our Community and Our Response</w:t>
      </w:r>
      <w:r w:rsidRPr="00581306">
        <w:rPr>
          <w:noProof/>
        </w:rPr>
        <w:tab/>
        <w:t>9</w:t>
      </w:r>
    </w:p>
    <w:p w14:paraId="32496303" w14:textId="625946A0" w:rsidR="0087116C" w:rsidRPr="00581306" w:rsidRDefault="0087116C">
      <w:pPr>
        <w:pStyle w:val="TOC1"/>
        <w:rPr>
          <w:rFonts w:eastAsiaTheme="minorEastAsia" w:cstheme="minorBidi"/>
          <w:noProof/>
          <w:sz w:val="24"/>
          <w:szCs w:val="24"/>
          <w:lang w:val="en-GB"/>
        </w:rPr>
      </w:pPr>
      <w:r w:rsidRPr="00581306">
        <w:rPr>
          <w:noProof/>
        </w:rPr>
        <w:t>3</w:t>
      </w:r>
      <w:r w:rsidRPr="00581306">
        <w:rPr>
          <w:rFonts w:eastAsiaTheme="minorEastAsia" w:cstheme="minorBidi"/>
          <w:noProof/>
          <w:sz w:val="24"/>
          <w:szCs w:val="24"/>
          <w:lang w:val="en-GB"/>
        </w:rPr>
        <w:tab/>
      </w:r>
      <w:r w:rsidRPr="00581306">
        <w:rPr>
          <w:noProof/>
        </w:rPr>
        <w:t>Our Services and the Wheel of Change</w:t>
      </w:r>
      <w:r w:rsidRPr="00581306">
        <w:rPr>
          <w:noProof/>
        </w:rPr>
        <w:tab/>
        <w:t>10</w:t>
      </w:r>
    </w:p>
    <w:p w14:paraId="44682C2D" w14:textId="75C6F07A" w:rsidR="0087116C" w:rsidRPr="00581306" w:rsidRDefault="0087116C">
      <w:pPr>
        <w:pStyle w:val="TOC1"/>
        <w:rPr>
          <w:rFonts w:eastAsiaTheme="minorEastAsia" w:cstheme="minorBidi"/>
          <w:noProof/>
          <w:sz w:val="24"/>
          <w:szCs w:val="24"/>
          <w:lang w:val="en-GB"/>
        </w:rPr>
      </w:pPr>
      <w:r w:rsidRPr="00581306">
        <w:rPr>
          <w:noProof/>
        </w:rPr>
        <w:t>4</w:t>
      </w:r>
      <w:r w:rsidRPr="00581306">
        <w:rPr>
          <w:rFonts w:eastAsiaTheme="minorEastAsia" w:cstheme="minorBidi"/>
          <w:noProof/>
          <w:sz w:val="24"/>
          <w:szCs w:val="24"/>
          <w:lang w:val="en-GB"/>
        </w:rPr>
        <w:tab/>
      </w:r>
      <w:r w:rsidRPr="00581306">
        <w:rPr>
          <w:noProof/>
        </w:rPr>
        <w:t>Overview of Strategic Objectives and Actions</w:t>
      </w:r>
      <w:r w:rsidRPr="00581306">
        <w:rPr>
          <w:noProof/>
        </w:rPr>
        <w:tab/>
        <w:t>11</w:t>
      </w:r>
    </w:p>
    <w:p w14:paraId="36E8C700" w14:textId="7A2CACAE" w:rsidR="0087116C" w:rsidRPr="00945A08" w:rsidRDefault="00B54C5D">
      <w:pPr>
        <w:pStyle w:val="TOC1"/>
        <w:rPr>
          <w:noProof/>
        </w:rPr>
      </w:pPr>
      <w:r>
        <w:rPr>
          <w:noProof/>
        </w:rPr>
        <w:t xml:space="preserve">5 </w:t>
      </w:r>
      <w:r w:rsidR="0087116C" w:rsidRPr="00945A08">
        <w:rPr>
          <w:noProof/>
        </w:rPr>
        <w:tab/>
      </w:r>
      <w:r w:rsidR="0087116C" w:rsidRPr="00581306">
        <w:rPr>
          <w:noProof/>
        </w:rPr>
        <w:t>Strategic Actions</w:t>
      </w:r>
      <w:r w:rsidR="0087116C" w:rsidRPr="00581306">
        <w:rPr>
          <w:noProof/>
        </w:rPr>
        <w:tab/>
      </w:r>
      <w:r w:rsidR="00945A08">
        <w:rPr>
          <w:noProof/>
        </w:rPr>
        <w:t xml:space="preserve">    </w:t>
      </w:r>
      <w:r w:rsidR="0087116C" w:rsidRPr="00581306">
        <w:rPr>
          <w:noProof/>
        </w:rPr>
        <w:t>12</w:t>
      </w:r>
      <w:r w:rsidR="00C629AA">
        <w:rPr>
          <w:noProof/>
        </w:rPr>
        <w:t xml:space="preserve"> -1</w:t>
      </w:r>
      <w:r w:rsidR="00AC359D">
        <w:rPr>
          <w:noProof/>
        </w:rPr>
        <w:t>6</w:t>
      </w:r>
    </w:p>
    <w:p w14:paraId="3145AD26" w14:textId="5DE626AF" w:rsidR="00F724CB" w:rsidRDefault="00B54C5D" w:rsidP="00B54C5D">
      <w:pPr>
        <w:rPr>
          <w:rFonts w:asciiTheme="minorHAnsi" w:hAnsiTheme="minorHAnsi"/>
          <w:b/>
          <w:bCs/>
          <w:noProof/>
          <w:szCs w:val="20"/>
        </w:rPr>
      </w:pPr>
      <w:r w:rsidRPr="00945A08">
        <w:rPr>
          <w:rFonts w:asciiTheme="minorHAnsi" w:hAnsiTheme="minorHAnsi"/>
          <w:b/>
          <w:bCs/>
          <w:noProof/>
          <w:szCs w:val="20"/>
        </w:rPr>
        <w:t xml:space="preserve">6 </w:t>
      </w:r>
      <w:r w:rsidR="00945A08">
        <w:rPr>
          <w:rFonts w:asciiTheme="minorHAnsi" w:hAnsiTheme="minorHAnsi"/>
          <w:b/>
          <w:bCs/>
          <w:noProof/>
          <w:szCs w:val="20"/>
        </w:rPr>
        <w:t xml:space="preserve">     </w:t>
      </w:r>
      <w:r w:rsidR="00F724CB" w:rsidRPr="00945A08">
        <w:rPr>
          <w:rFonts w:asciiTheme="minorHAnsi" w:hAnsiTheme="minorHAnsi"/>
          <w:b/>
          <w:bCs/>
          <w:noProof/>
          <w:szCs w:val="20"/>
        </w:rPr>
        <w:t>Acknowledgements</w:t>
      </w:r>
      <w:r w:rsidR="006562BA" w:rsidRPr="00945A08">
        <w:rPr>
          <w:rFonts w:asciiTheme="minorHAnsi" w:hAnsiTheme="minorHAnsi"/>
          <w:b/>
          <w:bCs/>
          <w:noProof/>
          <w:szCs w:val="20"/>
        </w:rPr>
        <w:tab/>
      </w:r>
      <w:r w:rsidR="006562BA" w:rsidRPr="00945A08">
        <w:rPr>
          <w:rFonts w:asciiTheme="minorHAnsi" w:hAnsiTheme="minorHAnsi"/>
          <w:b/>
          <w:bCs/>
          <w:noProof/>
          <w:szCs w:val="20"/>
        </w:rPr>
        <w:tab/>
      </w:r>
      <w:r w:rsidR="006562BA" w:rsidRPr="00945A08">
        <w:rPr>
          <w:rFonts w:asciiTheme="minorHAnsi" w:hAnsiTheme="minorHAnsi"/>
          <w:b/>
          <w:bCs/>
          <w:noProof/>
          <w:szCs w:val="20"/>
        </w:rPr>
        <w:tab/>
      </w:r>
      <w:r w:rsidR="006562BA" w:rsidRPr="00945A08">
        <w:rPr>
          <w:rFonts w:asciiTheme="minorHAnsi" w:hAnsiTheme="minorHAnsi"/>
          <w:b/>
          <w:bCs/>
          <w:noProof/>
          <w:szCs w:val="20"/>
        </w:rPr>
        <w:tab/>
      </w:r>
      <w:r w:rsidR="006562BA" w:rsidRPr="00945A08">
        <w:rPr>
          <w:rFonts w:asciiTheme="minorHAnsi" w:hAnsiTheme="minorHAnsi"/>
          <w:b/>
          <w:bCs/>
          <w:noProof/>
          <w:szCs w:val="20"/>
        </w:rPr>
        <w:tab/>
      </w:r>
      <w:r w:rsidR="006562BA" w:rsidRPr="00945A08">
        <w:rPr>
          <w:rFonts w:asciiTheme="minorHAnsi" w:hAnsiTheme="minorHAnsi"/>
          <w:b/>
          <w:bCs/>
          <w:noProof/>
          <w:szCs w:val="20"/>
        </w:rPr>
        <w:tab/>
      </w:r>
      <w:r w:rsidR="006562BA" w:rsidRPr="00945A08">
        <w:rPr>
          <w:rFonts w:asciiTheme="minorHAnsi" w:hAnsiTheme="minorHAnsi"/>
          <w:b/>
          <w:bCs/>
          <w:noProof/>
          <w:szCs w:val="20"/>
        </w:rPr>
        <w:tab/>
      </w:r>
      <w:r w:rsidR="006562BA" w:rsidRPr="00945A08">
        <w:rPr>
          <w:rFonts w:asciiTheme="minorHAnsi" w:hAnsiTheme="minorHAnsi"/>
          <w:b/>
          <w:bCs/>
          <w:noProof/>
          <w:szCs w:val="20"/>
        </w:rPr>
        <w:tab/>
      </w:r>
      <w:r w:rsidR="006562BA" w:rsidRPr="00945A08">
        <w:rPr>
          <w:rFonts w:asciiTheme="minorHAnsi" w:hAnsiTheme="minorHAnsi"/>
          <w:b/>
          <w:bCs/>
          <w:noProof/>
          <w:szCs w:val="20"/>
        </w:rPr>
        <w:tab/>
      </w:r>
      <w:r w:rsidR="00945A08">
        <w:rPr>
          <w:rFonts w:asciiTheme="minorHAnsi" w:hAnsiTheme="minorHAnsi"/>
          <w:b/>
          <w:bCs/>
          <w:noProof/>
          <w:szCs w:val="20"/>
        </w:rPr>
        <w:t xml:space="preserve">   </w:t>
      </w:r>
      <w:r w:rsidR="006562BA" w:rsidRPr="00945A08">
        <w:rPr>
          <w:rFonts w:asciiTheme="minorHAnsi" w:hAnsiTheme="minorHAnsi"/>
          <w:b/>
          <w:bCs/>
          <w:noProof/>
          <w:szCs w:val="20"/>
        </w:rPr>
        <w:t>1</w:t>
      </w:r>
      <w:r w:rsidR="009B0984">
        <w:rPr>
          <w:rFonts w:asciiTheme="minorHAnsi" w:hAnsiTheme="minorHAnsi"/>
          <w:b/>
          <w:bCs/>
          <w:noProof/>
          <w:szCs w:val="20"/>
        </w:rPr>
        <w:t>7</w:t>
      </w:r>
    </w:p>
    <w:p w14:paraId="7DFDB39C" w14:textId="77777777" w:rsidR="00945A08" w:rsidRDefault="00945A08" w:rsidP="00B54C5D">
      <w:pPr>
        <w:rPr>
          <w:rFonts w:asciiTheme="minorHAnsi" w:hAnsiTheme="minorHAnsi"/>
          <w:b/>
          <w:bCs/>
          <w:noProof/>
          <w:szCs w:val="20"/>
        </w:rPr>
      </w:pPr>
    </w:p>
    <w:p w14:paraId="3417F79A" w14:textId="77777777" w:rsidR="00945A08" w:rsidRDefault="00945A08" w:rsidP="00B54C5D">
      <w:pPr>
        <w:rPr>
          <w:rFonts w:asciiTheme="minorHAnsi" w:hAnsiTheme="minorHAnsi"/>
          <w:b/>
          <w:bCs/>
          <w:noProof/>
          <w:szCs w:val="20"/>
        </w:rPr>
      </w:pPr>
    </w:p>
    <w:p w14:paraId="0F22A22A" w14:textId="77777777" w:rsidR="00945A08" w:rsidRDefault="00945A08" w:rsidP="00B54C5D">
      <w:pPr>
        <w:rPr>
          <w:rFonts w:asciiTheme="minorHAnsi" w:hAnsiTheme="minorHAnsi"/>
          <w:b/>
          <w:bCs/>
          <w:noProof/>
          <w:szCs w:val="20"/>
        </w:rPr>
      </w:pPr>
    </w:p>
    <w:p w14:paraId="6D562518" w14:textId="77777777" w:rsidR="00945A08" w:rsidRDefault="00945A08" w:rsidP="00B54C5D">
      <w:pPr>
        <w:rPr>
          <w:rFonts w:asciiTheme="minorHAnsi" w:hAnsiTheme="minorHAnsi"/>
          <w:b/>
          <w:bCs/>
          <w:noProof/>
          <w:szCs w:val="20"/>
        </w:rPr>
      </w:pPr>
    </w:p>
    <w:p w14:paraId="2AB00B57" w14:textId="77777777" w:rsidR="00945A08" w:rsidRDefault="00945A08" w:rsidP="00B54C5D">
      <w:pPr>
        <w:rPr>
          <w:rFonts w:asciiTheme="minorHAnsi" w:hAnsiTheme="minorHAnsi"/>
          <w:b/>
          <w:bCs/>
          <w:noProof/>
          <w:szCs w:val="20"/>
        </w:rPr>
      </w:pPr>
    </w:p>
    <w:p w14:paraId="3FB6B4A8" w14:textId="77777777" w:rsidR="00945A08" w:rsidRDefault="00945A08" w:rsidP="00B54C5D">
      <w:pPr>
        <w:rPr>
          <w:rFonts w:asciiTheme="minorHAnsi" w:hAnsiTheme="minorHAnsi"/>
          <w:b/>
          <w:bCs/>
          <w:noProof/>
          <w:szCs w:val="20"/>
        </w:rPr>
      </w:pPr>
    </w:p>
    <w:p w14:paraId="15E4F75C" w14:textId="77777777" w:rsidR="00945A08" w:rsidRDefault="00945A08" w:rsidP="00B54C5D">
      <w:pPr>
        <w:rPr>
          <w:rFonts w:asciiTheme="minorHAnsi" w:hAnsiTheme="minorHAnsi"/>
          <w:b/>
          <w:bCs/>
          <w:noProof/>
          <w:szCs w:val="20"/>
        </w:rPr>
      </w:pPr>
    </w:p>
    <w:p w14:paraId="06C6B0FC" w14:textId="77777777" w:rsidR="00945A08" w:rsidRDefault="00945A08" w:rsidP="00B54C5D">
      <w:pPr>
        <w:rPr>
          <w:rFonts w:asciiTheme="minorHAnsi" w:hAnsiTheme="minorHAnsi"/>
          <w:b/>
          <w:bCs/>
          <w:noProof/>
          <w:szCs w:val="20"/>
        </w:rPr>
      </w:pPr>
    </w:p>
    <w:p w14:paraId="580BA101" w14:textId="77777777" w:rsidR="00945A08" w:rsidRDefault="00945A08" w:rsidP="00B54C5D">
      <w:pPr>
        <w:rPr>
          <w:rFonts w:asciiTheme="minorHAnsi" w:hAnsiTheme="minorHAnsi"/>
          <w:b/>
          <w:bCs/>
          <w:noProof/>
          <w:szCs w:val="20"/>
        </w:rPr>
      </w:pPr>
    </w:p>
    <w:p w14:paraId="6F72FFD3" w14:textId="77777777" w:rsidR="00945A08" w:rsidRDefault="00945A08" w:rsidP="00B54C5D">
      <w:pPr>
        <w:rPr>
          <w:rFonts w:asciiTheme="minorHAnsi" w:hAnsiTheme="minorHAnsi"/>
          <w:b/>
          <w:bCs/>
          <w:noProof/>
          <w:szCs w:val="20"/>
        </w:rPr>
      </w:pPr>
    </w:p>
    <w:p w14:paraId="2955F9CB" w14:textId="77777777" w:rsidR="00945A08" w:rsidRDefault="00945A08" w:rsidP="00B54C5D">
      <w:pPr>
        <w:rPr>
          <w:rFonts w:asciiTheme="minorHAnsi" w:hAnsiTheme="minorHAnsi"/>
          <w:b/>
          <w:bCs/>
          <w:noProof/>
          <w:szCs w:val="20"/>
        </w:rPr>
      </w:pPr>
    </w:p>
    <w:p w14:paraId="56C2AE72" w14:textId="77777777" w:rsidR="00945A08" w:rsidRDefault="00945A08" w:rsidP="00B54C5D">
      <w:pPr>
        <w:rPr>
          <w:rFonts w:asciiTheme="minorHAnsi" w:hAnsiTheme="minorHAnsi"/>
          <w:b/>
          <w:bCs/>
          <w:noProof/>
          <w:szCs w:val="20"/>
        </w:rPr>
      </w:pPr>
    </w:p>
    <w:p w14:paraId="6DFFEDB4" w14:textId="77777777" w:rsidR="00945A08" w:rsidRDefault="00945A08" w:rsidP="00B54C5D">
      <w:pPr>
        <w:rPr>
          <w:rFonts w:asciiTheme="minorHAnsi" w:hAnsiTheme="minorHAnsi"/>
          <w:b/>
          <w:bCs/>
          <w:noProof/>
          <w:szCs w:val="20"/>
        </w:rPr>
      </w:pPr>
    </w:p>
    <w:p w14:paraId="339657AB" w14:textId="77777777" w:rsidR="00945A08" w:rsidRDefault="00945A08" w:rsidP="00B54C5D">
      <w:pPr>
        <w:rPr>
          <w:rFonts w:asciiTheme="minorHAnsi" w:hAnsiTheme="minorHAnsi"/>
          <w:b/>
          <w:bCs/>
          <w:noProof/>
          <w:szCs w:val="20"/>
        </w:rPr>
      </w:pPr>
    </w:p>
    <w:p w14:paraId="13BB178F" w14:textId="77777777" w:rsidR="00945A08" w:rsidRDefault="00945A08" w:rsidP="00B54C5D">
      <w:pPr>
        <w:rPr>
          <w:rFonts w:asciiTheme="minorHAnsi" w:hAnsiTheme="minorHAnsi"/>
          <w:b/>
          <w:bCs/>
          <w:noProof/>
          <w:szCs w:val="20"/>
        </w:rPr>
      </w:pPr>
    </w:p>
    <w:p w14:paraId="3E7ACDBB" w14:textId="77777777" w:rsidR="00945A08" w:rsidRDefault="00945A08" w:rsidP="00B54C5D">
      <w:pPr>
        <w:rPr>
          <w:rFonts w:asciiTheme="minorHAnsi" w:hAnsiTheme="minorHAnsi"/>
          <w:b/>
          <w:bCs/>
          <w:noProof/>
          <w:szCs w:val="20"/>
        </w:rPr>
      </w:pPr>
    </w:p>
    <w:p w14:paraId="2AE899AA" w14:textId="77777777" w:rsidR="00945A08" w:rsidRDefault="00945A08" w:rsidP="00B54C5D">
      <w:pPr>
        <w:rPr>
          <w:rFonts w:asciiTheme="minorHAnsi" w:hAnsiTheme="minorHAnsi"/>
          <w:b/>
          <w:bCs/>
          <w:noProof/>
          <w:szCs w:val="20"/>
        </w:rPr>
      </w:pPr>
    </w:p>
    <w:p w14:paraId="2D13299D" w14:textId="77777777" w:rsidR="001F5F4A" w:rsidRPr="001358FB" w:rsidRDefault="005D60AB" w:rsidP="0087116C">
      <w:pPr>
        <w:pStyle w:val="Heading1"/>
      </w:pPr>
      <w:bookmarkStart w:id="1" w:name="_Toc117669686"/>
      <w:bookmarkStart w:id="2" w:name="_Toc124260266"/>
      <w:r w:rsidRPr="001358FB">
        <w:lastRenderedPageBreak/>
        <w:t>Introduction</w:t>
      </w:r>
      <w:bookmarkEnd w:id="1"/>
      <w:bookmarkEnd w:id="2"/>
      <w:r w:rsidR="000E63BE" w:rsidRPr="001358FB">
        <w:t xml:space="preserve"> </w:t>
      </w:r>
    </w:p>
    <w:p w14:paraId="7031C636" w14:textId="408E000D" w:rsidR="001358FB" w:rsidRPr="001358FB" w:rsidRDefault="00C23DFC" w:rsidP="0087116C">
      <w:pPr>
        <w:pStyle w:val="Heading2"/>
      </w:pPr>
      <w:bookmarkStart w:id="3" w:name="_Toc117669687"/>
      <w:bookmarkStart w:id="4" w:name="_Toc124260267"/>
      <w:r w:rsidRPr="001358FB">
        <w:t>Vision</w:t>
      </w:r>
      <w:bookmarkEnd w:id="3"/>
      <w:bookmarkEnd w:id="4"/>
      <w:r w:rsidRPr="001358FB">
        <w:t xml:space="preserve"> </w:t>
      </w:r>
    </w:p>
    <w:p w14:paraId="22A4C512" w14:textId="1F464BB1" w:rsidR="001358FB" w:rsidRPr="000B052E" w:rsidRDefault="001358FB" w:rsidP="0087116C">
      <w:pPr>
        <w:pStyle w:val="QualityMatters"/>
        <w:rPr>
          <w:lang w:val="en-GB"/>
        </w:rPr>
      </w:pPr>
      <w:r w:rsidRPr="001358FB">
        <w:t>All families in Jobstown and surrounding communities experiencing substance misuse are supported, understood, and given hope</w:t>
      </w:r>
      <w:r>
        <w:t>, through the</w:t>
      </w:r>
      <w:r w:rsidRPr="001358FB">
        <w:t xml:space="preserve"> pro</w:t>
      </w:r>
      <w:r w:rsidR="0087116C">
        <w:t>vision</w:t>
      </w:r>
      <w:r w:rsidRPr="001358FB">
        <w:t xml:space="preserve"> </w:t>
      </w:r>
      <w:r>
        <w:t xml:space="preserve">of </w:t>
      </w:r>
      <w:r w:rsidR="00CE4AC7">
        <w:t>high-quality</w:t>
      </w:r>
      <w:r w:rsidR="0087116C">
        <w:t xml:space="preserve"> </w:t>
      </w:r>
      <w:r>
        <w:t xml:space="preserve">harm reduction, </w:t>
      </w:r>
      <w:r w:rsidRPr="001358FB">
        <w:t>recovery and rehabilitation</w:t>
      </w:r>
      <w:r w:rsidR="0087116C">
        <w:t xml:space="preserve"> services</w:t>
      </w:r>
      <w:r>
        <w:t xml:space="preserve">. </w:t>
      </w:r>
    </w:p>
    <w:p w14:paraId="656FBAB8" w14:textId="77777777" w:rsidR="00C23DFC" w:rsidRDefault="00C23DFC" w:rsidP="0087116C">
      <w:pPr>
        <w:pStyle w:val="Heading2"/>
      </w:pPr>
      <w:bookmarkStart w:id="5" w:name="_Toc117669688"/>
      <w:bookmarkStart w:id="6" w:name="_Toc124260268"/>
      <w:r w:rsidRPr="00B70629">
        <w:t>Mission</w:t>
      </w:r>
      <w:bookmarkEnd w:id="5"/>
      <w:bookmarkEnd w:id="6"/>
      <w:r w:rsidRPr="00B70629">
        <w:t xml:space="preserve"> </w:t>
      </w:r>
    </w:p>
    <w:p w14:paraId="7FB8A292" w14:textId="697653E5" w:rsidR="004C0660" w:rsidRDefault="00A71075" w:rsidP="0087116C">
      <w:pPr>
        <w:pStyle w:val="QualityMatters"/>
      </w:pPr>
      <w:r w:rsidRPr="001358FB">
        <w:t>W</w:t>
      </w:r>
      <w:r w:rsidR="00C23DFC" w:rsidRPr="001358FB">
        <w:t>e create safe spaces and nurturing relationships that help people and their families heal and progress on their recovery journey</w:t>
      </w:r>
      <w:r w:rsidR="004C0660" w:rsidRPr="001358FB">
        <w:t xml:space="preserve"> from substance abuse to a drug free lifestyle. </w:t>
      </w:r>
      <w:r w:rsidR="00C23DFC" w:rsidRPr="001358FB">
        <w:t xml:space="preserve"> </w:t>
      </w:r>
    </w:p>
    <w:p w14:paraId="616D5FC9" w14:textId="77777777" w:rsidR="00B70629" w:rsidRPr="00F47BA0" w:rsidRDefault="00B70629" w:rsidP="0087116C">
      <w:pPr>
        <w:pStyle w:val="Heading2"/>
      </w:pPr>
      <w:bookmarkStart w:id="7" w:name="_Toc117669462"/>
      <w:bookmarkStart w:id="8" w:name="_Toc117669605"/>
      <w:bookmarkStart w:id="9" w:name="_Toc117669464"/>
      <w:bookmarkStart w:id="10" w:name="_Toc117669607"/>
      <w:bookmarkStart w:id="11" w:name="_Toc117669465"/>
      <w:bookmarkStart w:id="12" w:name="_Toc117669608"/>
      <w:bookmarkStart w:id="13" w:name="_Toc117669469"/>
      <w:bookmarkStart w:id="14" w:name="_Toc117669612"/>
      <w:bookmarkStart w:id="15" w:name="_Toc117669470"/>
      <w:bookmarkStart w:id="16" w:name="_Toc117669613"/>
      <w:bookmarkStart w:id="17" w:name="_Toc117669471"/>
      <w:bookmarkStart w:id="18" w:name="_Toc117669614"/>
      <w:bookmarkStart w:id="19" w:name="_Toc117669689"/>
      <w:bookmarkStart w:id="20" w:name="_Toc124260269"/>
      <w:bookmarkEnd w:id="7"/>
      <w:bookmarkEnd w:id="8"/>
      <w:bookmarkEnd w:id="9"/>
      <w:bookmarkEnd w:id="10"/>
      <w:bookmarkEnd w:id="11"/>
      <w:bookmarkEnd w:id="12"/>
      <w:bookmarkEnd w:id="13"/>
      <w:bookmarkEnd w:id="14"/>
      <w:bookmarkEnd w:id="15"/>
      <w:bookmarkEnd w:id="16"/>
      <w:bookmarkEnd w:id="17"/>
      <w:bookmarkEnd w:id="18"/>
      <w:r w:rsidRPr="00F47BA0">
        <w:t>Values</w:t>
      </w:r>
      <w:bookmarkEnd w:id="19"/>
      <w:bookmarkEnd w:id="20"/>
      <w:r w:rsidRPr="00F47BA0">
        <w:t xml:space="preserve"> </w:t>
      </w:r>
    </w:p>
    <w:p w14:paraId="3C008E84" w14:textId="425D4F36" w:rsidR="004B5A30" w:rsidRPr="00F47BA0" w:rsidRDefault="004B5A30" w:rsidP="0087116C">
      <w:pPr>
        <w:pStyle w:val="ListParagraph"/>
        <w:numPr>
          <w:ilvl w:val="0"/>
          <w:numId w:val="22"/>
        </w:numPr>
        <w:spacing w:line="360" w:lineRule="auto"/>
        <w:rPr>
          <w:sz w:val="18"/>
        </w:rPr>
      </w:pPr>
      <w:r w:rsidRPr="00F47BA0">
        <w:rPr>
          <w:sz w:val="18"/>
        </w:rPr>
        <w:t xml:space="preserve">We </w:t>
      </w:r>
      <w:r w:rsidR="00291BAA">
        <w:rPr>
          <w:sz w:val="18"/>
        </w:rPr>
        <w:t xml:space="preserve">are friendly, warm, flexible, and </w:t>
      </w:r>
      <w:r w:rsidRPr="00F47BA0">
        <w:rPr>
          <w:sz w:val="18"/>
        </w:rPr>
        <w:t xml:space="preserve">will </w:t>
      </w:r>
      <w:r w:rsidR="000800F3" w:rsidRPr="00F47BA0">
        <w:rPr>
          <w:sz w:val="18"/>
        </w:rPr>
        <w:t xml:space="preserve">always </w:t>
      </w:r>
      <w:r w:rsidRPr="00F47BA0">
        <w:rPr>
          <w:sz w:val="18"/>
        </w:rPr>
        <w:t xml:space="preserve">act with honesty and integrity </w:t>
      </w:r>
    </w:p>
    <w:p w14:paraId="7C683863" w14:textId="77777777" w:rsidR="009E1DD9" w:rsidRPr="00F47BA0" w:rsidRDefault="009E1DD9" w:rsidP="0087116C">
      <w:pPr>
        <w:pStyle w:val="ListParagraph"/>
        <w:numPr>
          <w:ilvl w:val="0"/>
          <w:numId w:val="22"/>
        </w:numPr>
        <w:spacing w:line="360" w:lineRule="auto"/>
        <w:rPr>
          <w:sz w:val="18"/>
        </w:rPr>
      </w:pPr>
      <w:r w:rsidRPr="00F47BA0">
        <w:rPr>
          <w:sz w:val="18"/>
        </w:rPr>
        <w:t xml:space="preserve">We are non-judgemental and seek to create dignity </w:t>
      </w:r>
      <w:r w:rsidR="0052277A">
        <w:rPr>
          <w:sz w:val="18"/>
        </w:rPr>
        <w:t xml:space="preserve">for </w:t>
      </w:r>
      <w:r w:rsidRPr="00F47BA0">
        <w:rPr>
          <w:sz w:val="18"/>
        </w:rPr>
        <w:t xml:space="preserve">everyone we work with </w:t>
      </w:r>
    </w:p>
    <w:p w14:paraId="45483762" w14:textId="2C855B44" w:rsidR="00352464" w:rsidRDefault="009E1DD9" w:rsidP="0087116C">
      <w:pPr>
        <w:pStyle w:val="ListParagraph"/>
        <w:numPr>
          <w:ilvl w:val="0"/>
          <w:numId w:val="22"/>
        </w:numPr>
        <w:spacing w:line="360" w:lineRule="auto"/>
        <w:rPr>
          <w:sz w:val="18"/>
        </w:rPr>
      </w:pPr>
      <w:r w:rsidRPr="00F47BA0">
        <w:rPr>
          <w:sz w:val="18"/>
        </w:rPr>
        <w:t xml:space="preserve">We </w:t>
      </w:r>
      <w:r w:rsidR="00291BAA">
        <w:rPr>
          <w:sz w:val="18"/>
        </w:rPr>
        <w:t>go the extra mile</w:t>
      </w:r>
      <w:r w:rsidR="00352464">
        <w:rPr>
          <w:sz w:val="18"/>
        </w:rPr>
        <w:t xml:space="preserve"> and </w:t>
      </w:r>
      <w:r w:rsidR="00291BAA">
        <w:rPr>
          <w:sz w:val="18"/>
        </w:rPr>
        <w:t>recognis</w:t>
      </w:r>
      <w:r w:rsidR="00352464">
        <w:rPr>
          <w:sz w:val="18"/>
        </w:rPr>
        <w:t xml:space="preserve">e </w:t>
      </w:r>
      <w:r w:rsidR="00291BAA">
        <w:rPr>
          <w:sz w:val="18"/>
        </w:rPr>
        <w:t xml:space="preserve">that </w:t>
      </w:r>
      <w:r w:rsidR="000B052E">
        <w:rPr>
          <w:sz w:val="18"/>
        </w:rPr>
        <w:t>no one</w:t>
      </w:r>
      <w:r w:rsidR="00E737E5">
        <w:rPr>
          <w:sz w:val="18"/>
        </w:rPr>
        <w:t xml:space="preserve"> </w:t>
      </w:r>
      <w:r w:rsidR="00291BAA">
        <w:rPr>
          <w:sz w:val="18"/>
        </w:rPr>
        <w:t xml:space="preserve">can do it alone </w:t>
      </w:r>
    </w:p>
    <w:p w14:paraId="7E818988" w14:textId="77777777" w:rsidR="00F860E9" w:rsidRPr="00F860E9" w:rsidRDefault="00352464" w:rsidP="0087116C">
      <w:pPr>
        <w:pStyle w:val="ListParagraph"/>
        <w:numPr>
          <w:ilvl w:val="0"/>
          <w:numId w:val="22"/>
        </w:numPr>
        <w:spacing w:line="360" w:lineRule="auto"/>
        <w:rPr>
          <w:sz w:val="18"/>
        </w:rPr>
      </w:pPr>
      <w:r>
        <w:rPr>
          <w:sz w:val="18"/>
        </w:rPr>
        <w:t xml:space="preserve">We </w:t>
      </w:r>
      <w:r w:rsidR="009E1DD9" w:rsidRPr="00F47BA0">
        <w:rPr>
          <w:sz w:val="18"/>
        </w:rPr>
        <w:t>believ</w:t>
      </w:r>
      <w:r>
        <w:rPr>
          <w:sz w:val="18"/>
        </w:rPr>
        <w:t>e</w:t>
      </w:r>
      <w:r w:rsidR="009E1DD9" w:rsidRPr="00F47BA0">
        <w:rPr>
          <w:sz w:val="18"/>
        </w:rPr>
        <w:t xml:space="preserve"> in people’s ability to </w:t>
      </w:r>
      <w:r w:rsidR="003321DA" w:rsidRPr="00F47BA0">
        <w:rPr>
          <w:sz w:val="18"/>
        </w:rPr>
        <w:t xml:space="preserve">change </w:t>
      </w:r>
    </w:p>
    <w:p w14:paraId="20AAD514" w14:textId="38028D92" w:rsidR="000B052E" w:rsidRPr="00A71075" w:rsidRDefault="009E1DD9" w:rsidP="00581306">
      <w:pPr>
        <w:pStyle w:val="ListParagraph"/>
        <w:numPr>
          <w:ilvl w:val="0"/>
          <w:numId w:val="22"/>
        </w:numPr>
        <w:spacing w:line="360" w:lineRule="auto"/>
      </w:pPr>
      <w:r w:rsidRPr="00F47BA0">
        <w:rPr>
          <w:sz w:val="18"/>
        </w:rPr>
        <w:t xml:space="preserve">We </w:t>
      </w:r>
      <w:r w:rsidR="00291BAA">
        <w:rPr>
          <w:sz w:val="18"/>
        </w:rPr>
        <w:t xml:space="preserve">are part of the community, providing a safe space where </w:t>
      </w:r>
      <w:r w:rsidRPr="00F47BA0">
        <w:rPr>
          <w:sz w:val="18"/>
        </w:rPr>
        <w:t xml:space="preserve">kindness and connection are the basis of </w:t>
      </w:r>
      <w:r w:rsidR="003321DA" w:rsidRPr="00F47BA0">
        <w:rPr>
          <w:sz w:val="18"/>
        </w:rPr>
        <w:t xml:space="preserve">all </w:t>
      </w:r>
      <w:r w:rsidRPr="00F47BA0">
        <w:rPr>
          <w:sz w:val="18"/>
        </w:rPr>
        <w:t>rehabilitation</w:t>
      </w:r>
    </w:p>
    <w:p w14:paraId="539B2756" w14:textId="77777777" w:rsidR="000A4EA0" w:rsidRPr="000A4EA0" w:rsidRDefault="007F77CE" w:rsidP="0087116C">
      <w:pPr>
        <w:pStyle w:val="Heading2"/>
      </w:pPr>
      <w:bookmarkStart w:id="21" w:name="_Toc117669690"/>
      <w:bookmarkStart w:id="22" w:name="_Toc124260270"/>
      <w:r>
        <w:t>Our History</w:t>
      </w:r>
      <w:bookmarkEnd w:id="21"/>
      <w:bookmarkEnd w:id="22"/>
    </w:p>
    <w:p w14:paraId="0240EED4" w14:textId="5AACA0A2" w:rsidR="00472281" w:rsidRPr="001D4D71" w:rsidRDefault="007F77CE" w:rsidP="0087116C">
      <w:pPr>
        <w:spacing w:after="0" w:line="360" w:lineRule="auto"/>
        <w:rPr>
          <w:sz w:val="18"/>
        </w:rPr>
      </w:pPr>
      <w:r w:rsidRPr="001D4D71">
        <w:rPr>
          <w:sz w:val="18"/>
        </w:rPr>
        <w:t xml:space="preserve">Jobstown Assisting Drug Dependency (JADD) was established in 1996 to create support services for clients and families with </w:t>
      </w:r>
      <w:r w:rsidR="000B052E">
        <w:rPr>
          <w:sz w:val="18"/>
        </w:rPr>
        <w:t xml:space="preserve">substance use </w:t>
      </w:r>
      <w:r w:rsidRPr="001D4D71">
        <w:rPr>
          <w:sz w:val="18"/>
        </w:rPr>
        <w:t>problems. The changing drug scene in the local community at this time was complicated by a</w:t>
      </w:r>
      <w:r w:rsidR="000B052E">
        <w:rPr>
          <w:sz w:val="18"/>
        </w:rPr>
        <w:t>n</w:t>
      </w:r>
      <w:r w:rsidRPr="001D4D71">
        <w:rPr>
          <w:sz w:val="18"/>
        </w:rPr>
        <w:t xml:space="preserve"> increase in heroin </w:t>
      </w:r>
      <w:r w:rsidR="000B052E">
        <w:rPr>
          <w:sz w:val="18"/>
        </w:rPr>
        <w:t>use</w:t>
      </w:r>
      <w:r w:rsidRPr="001D4D71">
        <w:rPr>
          <w:sz w:val="18"/>
        </w:rPr>
        <w:t xml:space="preserve">. Families with no experience of the devastating impacts of the drugs began to experience new levels of fear, anger, intimidation and pain. Driven by </w:t>
      </w:r>
      <w:r w:rsidR="000B052E">
        <w:rPr>
          <w:sz w:val="18"/>
        </w:rPr>
        <w:t>five</w:t>
      </w:r>
      <w:r w:rsidRPr="001D4D71">
        <w:rPr>
          <w:sz w:val="18"/>
        </w:rPr>
        <w:t xml:space="preserve"> members of the local community and a need to respond to this growing drug problem and the issues that aro</w:t>
      </w:r>
      <w:r w:rsidR="000B052E">
        <w:rPr>
          <w:sz w:val="18"/>
        </w:rPr>
        <w:t>se</w:t>
      </w:r>
      <w:r w:rsidRPr="001D4D71">
        <w:rPr>
          <w:sz w:val="18"/>
        </w:rPr>
        <w:t xml:space="preserve"> as a consequence, JADD came to life. </w:t>
      </w:r>
    </w:p>
    <w:p w14:paraId="1016F3AA" w14:textId="77777777" w:rsidR="00472281" w:rsidRPr="001D4D71" w:rsidRDefault="00472281" w:rsidP="0087116C">
      <w:pPr>
        <w:spacing w:after="0" w:line="360" w:lineRule="auto"/>
        <w:rPr>
          <w:sz w:val="18"/>
        </w:rPr>
      </w:pPr>
    </w:p>
    <w:p w14:paraId="5B8E8086" w14:textId="1185CC83" w:rsidR="00472281" w:rsidRPr="001D4D71" w:rsidRDefault="007F77CE" w:rsidP="0087116C">
      <w:pPr>
        <w:spacing w:after="0" w:line="360" w:lineRule="auto"/>
        <w:rPr>
          <w:sz w:val="18"/>
        </w:rPr>
      </w:pPr>
      <w:r w:rsidRPr="001D4D71">
        <w:rPr>
          <w:sz w:val="18"/>
        </w:rPr>
        <w:t>In 1998</w:t>
      </w:r>
      <w:r w:rsidR="008A1567">
        <w:rPr>
          <w:sz w:val="18"/>
        </w:rPr>
        <w:t xml:space="preserve"> JADD </w:t>
      </w:r>
      <w:r w:rsidRPr="001D4D71">
        <w:rPr>
          <w:sz w:val="18"/>
        </w:rPr>
        <w:t>open</w:t>
      </w:r>
      <w:r w:rsidR="008A1567">
        <w:rPr>
          <w:sz w:val="18"/>
        </w:rPr>
        <w:t>ed</w:t>
      </w:r>
      <w:r w:rsidRPr="001D4D71">
        <w:rPr>
          <w:sz w:val="18"/>
        </w:rPr>
        <w:t xml:space="preserve"> </w:t>
      </w:r>
      <w:r w:rsidR="000B052E">
        <w:rPr>
          <w:sz w:val="18"/>
        </w:rPr>
        <w:t>its</w:t>
      </w:r>
      <w:r w:rsidRPr="001D4D71">
        <w:rPr>
          <w:sz w:val="18"/>
        </w:rPr>
        <w:t xml:space="preserve"> door</w:t>
      </w:r>
      <w:r w:rsidR="000B052E">
        <w:rPr>
          <w:sz w:val="18"/>
        </w:rPr>
        <w:t>s</w:t>
      </w:r>
      <w:r w:rsidRPr="001D4D71">
        <w:rPr>
          <w:sz w:val="18"/>
        </w:rPr>
        <w:t xml:space="preserve"> on the grounds of the Jobstown Community Centre</w:t>
      </w:r>
      <w:r w:rsidR="008A1567">
        <w:rPr>
          <w:sz w:val="18"/>
        </w:rPr>
        <w:t xml:space="preserve">, </w:t>
      </w:r>
      <w:r w:rsidR="008A1567" w:rsidRPr="001D4D71">
        <w:rPr>
          <w:sz w:val="18"/>
        </w:rPr>
        <w:t>with the</w:t>
      </w:r>
      <w:r w:rsidR="00820C83">
        <w:rPr>
          <w:sz w:val="18"/>
        </w:rPr>
        <w:t xml:space="preserve"> Health Service Executive (HSE) </w:t>
      </w:r>
      <w:r w:rsidR="000B052E">
        <w:rPr>
          <w:sz w:val="18"/>
        </w:rPr>
        <w:t>A</w:t>
      </w:r>
      <w:r w:rsidR="00820C83">
        <w:rPr>
          <w:sz w:val="18"/>
        </w:rPr>
        <w:t xml:space="preserve">ddiction </w:t>
      </w:r>
      <w:r w:rsidR="000B052E">
        <w:rPr>
          <w:sz w:val="18"/>
        </w:rPr>
        <w:t>S</w:t>
      </w:r>
      <w:r w:rsidR="00820C83">
        <w:rPr>
          <w:sz w:val="18"/>
        </w:rPr>
        <w:t>ervices and the</w:t>
      </w:r>
      <w:r w:rsidR="008A1567" w:rsidRPr="001D4D71">
        <w:rPr>
          <w:sz w:val="18"/>
        </w:rPr>
        <w:t xml:space="preserve"> Tallaght Drugs and Alcohol Task Force </w:t>
      </w:r>
      <w:r w:rsidR="00820C83">
        <w:rPr>
          <w:sz w:val="18"/>
        </w:rPr>
        <w:t xml:space="preserve">(TDATF) </w:t>
      </w:r>
      <w:r w:rsidR="008A1567" w:rsidRPr="001D4D71">
        <w:rPr>
          <w:sz w:val="18"/>
        </w:rPr>
        <w:t xml:space="preserve">supporting </w:t>
      </w:r>
      <w:r w:rsidR="000B052E">
        <w:rPr>
          <w:sz w:val="18"/>
        </w:rPr>
        <w:t>the organisation</w:t>
      </w:r>
      <w:r w:rsidR="008A1567" w:rsidRPr="001D4D71">
        <w:rPr>
          <w:sz w:val="18"/>
        </w:rPr>
        <w:t xml:space="preserve"> in </w:t>
      </w:r>
      <w:r w:rsidR="000B052E">
        <w:rPr>
          <w:sz w:val="18"/>
        </w:rPr>
        <w:t xml:space="preserve">accessing </w:t>
      </w:r>
      <w:r w:rsidR="008A1567" w:rsidRPr="001D4D71">
        <w:rPr>
          <w:sz w:val="18"/>
        </w:rPr>
        <w:t>funding</w:t>
      </w:r>
      <w:r w:rsidRPr="001D4D71">
        <w:rPr>
          <w:sz w:val="18"/>
        </w:rPr>
        <w:t>. Very quickly our members, desir</w:t>
      </w:r>
      <w:r w:rsidR="00897663">
        <w:rPr>
          <w:sz w:val="18"/>
        </w:rPr>
        <w:t>ing</w:t>
      </w:r>
      <w:r w:rsidRPr="001D4D71">
        <w:rPr>
          <w:sz w:val="18"/>
        </w:rPr>
        <w:t xml:space="preserve"> to help families struggling with heroin use, realised that supporting </w:t>
      </w:r>
      <w:r w:rsidR="000B052E">
        <w:rPr>
          <w:sz w:val="18"/>
        </w:rPr>
        <w:t>people</w:t>
      </w:r>
      <w:r w:rsidRPr="001D4D71">
        <w:rPr>
          <w:sz w:val="18"/>
        </w:rPr>
        <w:t xml:space="preserve"> struggling with addiction to return to a drug free lifestyle would </w:t>
      </w:r>
      <w:r w:rsidR="000B052E">
        <w:rPr>
          <w:sz w:val="18"/>
        </w:rPr>
        <w:t>require</w:t>
      </w:r>
      <w:r w:rsidRPr="001D4D71">
        <w:rPr>
          <w:sz w:val="18"/>
        </w:rPr>
        <w:t xml:space="preserve"> a system of supports.</w:t>
      </w:r>
      <w:r w:rsidR="00820C83">
        <w:rPr>
          <w:sz w:val="18"/>
        </w:rPr>
        <w:t xml:space="preserve"> </w:t>
      </w:r>
      <w:r w:rsidR="000B052E">
        <w:rPr>
          <w:sz w:val="18"/>
        </w:rPr>
        <w:t>Our</w:t>
      </w:r>
      <w:r w:rsidR="00820C83">
        <w:rPr>
          <w:sz w:val="18"/>
        </w:rPr>
        <w:t xml:space="preserve"> response to this complex social problem was </w:t>
      </w:r>
      <w:r w:rsidR="000B052E">
        <w:rPr>
          <w:sz w:val="18"/>
        </w:rPr>
        <w:t xml:space="preserve">to provide a range of holistic services, </w:t>
      </w:r>
      <w:r w:rsidR="00820C83">
        <w:rPr>
          <w:sz w:val="18"/>
        </w:rPr>
        <w:t>enhanced through JADD’s partnership with the HSE and the provision of methadone treatment in the community.</w:t>
      </w:r>
      <w:r w:rsidR="000B052E">
        <w:rPr>
          <w:sz w:val="18"/>
        </w:rPr>
        <w:t xml:space="preserve"> Our services</w:t>
      </w:r>
      <w:r w:rsidRPr="001D4D71">
        <w:rPr>
          <w:sz w:val="18"/>
        </w:rPr>
        <w:t xml:space="preserve"> </w:t>
      </w:r>
      <w:r w:rsidR="00A770E0">
        <w:rPr>
          <w:sz w:val="18"/>
        </w:rPr>
        <w:t xml:space="preserve">needed to </w:t>
      </w:r>
      <w:r w:rsidRPr="001D4D71">
        <w:rPr>
          <w:sz w:val="18"/>
        </w:rPr>
        <w:t>break down the barriers that t</w:t>
      </w:r>
      <w:r w:rsidR="00897663">
        <w:rPr>
          <w:sz w:val="18"/>
        </w:rPr>
        <w:t>r</w:t>
      </w:r>
      <w:r w:rsidRPr="001D4D71">
        <w:rPr>
          <w:sz w:val="18"/>
        </w:rPr>
        <w:t xml:space="preserve">apped so many in the local community into a life of addiction. JADD began to develop an extensive range of community and family supports such as childcare and education opportunities, counselling and rehabilitation services </w:t>
      </w:r>
      <w:r w:rsidR="000B052E">
        <w:rPr>
          <w:sz w:val="18"/>
        </w:rPr>
        <w:t xml:space="preserve">to </w:t>
      </w:r>
      <w:r w:rsidRPr="001D4D71">
        <w:rPr>
          <w:sz w:val="18"/>
        </w:rPr>
        <w:t xml:space="preserve">creating </w:t>
      </w:r>
      <w:r w:rsidR="000B052E">
        <w:rPr>
          <w:sz w:val="18"/>
        </w:rPr>
        <w:t xml:space="preserve">a </w:t>
      </w:r>
      <w:r w:rsidRPr="001D4D71">
        <w:rPr>
          <w:sz w:val="18"/>
        </w:rPr>
        <w:t xml:space="preserve">safe space where clients and their families could access supports to </w:t>
      </w:r>
      <w:r w:rsidR="000B052E">
        <w:rPr>
          <w:sz w:val="18"/>
        </w:rPr>
        <w:t xml:space="preserve">help them </w:t>
      </w:r>
      <w:r w:rsidRPr="001D4D71">
        <w:rPr>
          <w:sz w:val="18"/>
        </w:rPr>
        <w:t>change their lives.</w:t>
      </w:r>
    </w:p>
    <w:p w14:paraId="04E57544" w14:textId="77777777" w:rsidR="00472281" w:rsidRPr="001D4D71" w:rsidRDefault="007F77CE" w:rsidP="0087116C">
      <w:pPr>
        <w:spacing w:after="0" w:line="360" w:lineRule="auto"/>
        <w:rPr>
          <w:sz w:val="18"/>
        </w:rPr>
      </w:pPr>
      <w:r w:rsidRPr="001D4D71">
        <w:rPr>
          <w:sz w:val="18"/>
        </w:rPr>
        <w:t xml:space="preserve"> </w:t>
      </w:r>
    </w:p>
    <w:p w14:paraId="638CBE75" w14:textId="01405D67" w:rsidR="00781FE4" w:rsidRPr="001D4D71" w:rsidRDefault="00820C83" w:rsidP="0087116C">
      <w:pPr>
        <w:spacing w:after="0" w:line="360" w:lineRule="auto"/>
        <w:rPr>
          <w:sz w:val="18"/>
        </w:rPr>
      </w:pPr>
      <w:r>
        <w:rPr>
          <w:sz w:val="18"/>
        </w:rPr>
        <w:t xml:space="preserve">Through a partnership approach with the HSE addiction services, the TDATF, and Pobal, </w:t>
      </w:r>
      <w:r w:rsidR="007F77CE" w:rsidRPr="001D4D71">
        <w:rPr>
          <w:sz w:val="18"/>
        </w:rPr>
        <w:t xml:space="preserve">JADD has become a leading provider of frontline services in the local community and greater Tallaght area. </w:t>
      </w:r>
      <w:r w:rsidR="007F77CE" w:rsidRPr="001D4D71">
        <w:rPr>
          <w:sz w:val="18"/>
        </w:rPr>
        <w:lastRenderedPageBreak/>
        <w:t xml:space="preserve">Throughout our history we have continued to adapt to emerging needs and today provide a range of </w:t>
      </w:r>
      <w:r w:rsidR="000B052E">
        <w:rPr>
          <w:sz w:val="18"/>
        </w:rPr>
        <w:t xml:space="preserve">free </w:t>
      </w:r>
      <w:r w:rsidR="007F77CE" w:rsidRPr="001D4D71">
        <w:rPr>
          <w:sz w:val="18"/>
        </w:rPr>
        <w:t>services designed to support families with addiction problems.</w:t>
      </w:r>
    </w:p>
    <w:p w14:paraId="29737E86" w14:textId="77777777" w:rsidR="000A4EA0" w:rsidRPr="00C23DFC" w:rsidRDefault="007F77CE" w:rsidP="0087116C">
      <w:pPr>
        <w:pStyle w:val="Heading2"/>
        <w:numPr>
          <w:ilvl w:val="1"/>
          <w:numId w:val="5"/>
        </w:numPr>
      </w:pPr>
      <w:bookmarkStart w:id="23" w:name="_Toc117669475"/>
      <w:bookmarkStart w:id="24" w:name="_Toc117669618"/>
      <w:bookmarkStart w:id="25" w:name="_Toc117669691"/>
      <w:bookmarkStart w:id="26" w:name="_Toc124260271"/>
      <w:bookmarkEnd w:id="23"/>
      <w:bookmarkEnd w:id="24"/>
      <w:r w:rsidRPr="00C23DFC">
        <w:t>Our Services</w:t>
      </w:r>
      <w:bookmarkEnd w:id="25"/>
      <w:bookmarkEnd w:id="26"/>
    </w:p>
    <w:p w14:paraId="4EC9A35C" w14:textId="3816466D" w:rsidR="00472281" w:rsidRPr="001D4D71" w:rsidRDefault="007F77CE" w:rsidP="0087116C">
      <w:pPr>
        <w:spacing w:after="0" w:line="360" w:lineRule="auto"/>
        <w:rPr>
          <w:sz w:val="18"/>
        </w:rPr>
      </w:pPr>
      <w:r w:rsidRPr="001D4D71">
        <w:rPr>
          <w:sz w:val="18"/>
        </w:rPr>
        <w:t xml:space="preserve">Our vision of changing lives and saving futures </w:t>
      </w:r>
      <w:r w:rsidR="000A4EA0">
        <w:rPr>
          <w:sz w:val="18"/>
        </w:rPr>
        <w:t xml:space="preserve">by </w:t>
      </w:r>
      <w:r w:rsidRPr="001D4D71">
        <w:rPr>
          <w:sz w:val="18"/>
        </w:rPr>
        <w:t xml:space="preserve">helping </w:t>
      </w:r>
      <w:r w:rsidR="007B1D40">
        <w:rPr>
          <w:sz w:val="18"/>
        </w:rPr>
        <w:t>people</w:t>
      </w:r>
      <w:r w:rsidRPr="001D4D71">
        <w:rPr>
          <w:sz w:val="18"/>
        </w:rPr>
        <w:t xml:space="preserve"> return to a drug free lifestyle continues to be realised through a series of innovative, free, </w:t>
      </w:r>
      <w:r w:rsidR="000A4EA0">
        <w:rPr>
          <w:sz w:val="18"/>
        </w:rPr>
        <w:t xml:space="preserve">and </w:t>
      </w:r>
      <w:r w:rsidRPr="001D4D71">
        <w:rPr>
          <w:sz w:val="18"/>
        </w:rPr>
        <w:t xml:space="preserve">quality services operating out of Jobstown. We provide a safe, non-judgemental environment where </w:t>
      </w:r>
      <w:r w:rsidR="000B052E">
        <w:rPr>
          <w:sz w:val="18"/>
        </w:rPr>
        <w:t xml:space="preserve">everyone is </w:t>
      </w:r>
      <w:r w:rsidRPr="001D4D71">
        <w:rPr>
          <w:sz w:val="18"/>
        </w:rPr>
        <w:t>treated with dignity and respect. Through our advocacy work, our interagency links</w:t>
      </w:r>
      <w:r w:rsidR="000A4EA0">
        <w:rPr>
          <w:sz w:val="18"/>
        </w:rPr>
        <w:t>,</w:t>
      </w:r>
      <w:r w:rsidRPr="001D4D71">
        <w:rPr>
          <w:sz w:val="18"/>
        </w:rPr>
        <w:t xml:space="preserve"> and strategic partnerships we deliver an array of services targeted to address the needs of families coping with drug dependency, polydrug use and social and emotional needs stemming from a multigenerational legacy of drug addiction. </w:t>
      </w:r>
    </w:p>
    <w:p w14:paraId="288CE19B" w14:textId="77777777" w:rsidR="00472281" w:rsidRPr="001D4D71" w:rsidRDefault="00472281" w:rsidP="0087116C">
      <w:pPr>
        <w:spacing w:after="0" w:line="360" w:lineRule="auto"/>
        <w:rPr>
          <w:sz w:val="18"/>
        </w:rPr>
      </w:pPr>
    </w:p>
    <w:p w14:paraId="4A75275E" w14:textId="1A4ED117" w:rsidR="00511496" w:rsidRPr="00A16851" w:rsidRDefault="007F77CE" w:rsidP="0087116C">
      <w:pPr>
        <w:spacing w:after="0" w:line="360" w:lineRule="auto"/>
        <w:rPr>
          <w:sz w:val="18"/>
        </w:rPr>
      </w:pPr>
      <w:r w:rsidRPr="001D4D71">
        <w:rPr>
          <w:sz w:val="18"/>
        </w:rPr>
        <w:t>Today JADD provides wrap-around services designed to rehabilitate clients and support them to sustain drug free life-styles while also supporting their families. Our services include:</w:t>
      </w:r>
    </w:p>
    <w:p w14:paraId="08C21FE9" w14:textId="77777777" w:rsidR="00A16851"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 xml:space="preserve">Drop-in service </w:t>
      </w:r>
    </w:p>
    <w:p w14:paraId="48CE461F" w14:textId="27B5E941" w:rsidR="00511496" w:rsidRPr="00A16851"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sidRPr="00A16851">
        <w:rPr>
          <w:b/>
          <w:color w:val="000000"/>
          <w:sz w:val="18"/>
        </w:rPr>
        <w:t>Opioid substitution treatment service provided in partnership with the Health Service Executive</w:t>
      </w:r>
    </w:p>
    <w:p w14:paraId="2A3191F7" w14:textId="77777777" w:rsidR="00511496" w:rsidRPr="00AC6E39"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 xml:space="preserve">Crack cocaine service  (including assertive outreach service)  </w:t>
      </w:r>
    </w:p>
    <w:p w14:paraId="66FF9436" w14:textId="77777777" w:rsidR="00511496"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 xml:space="preserve">Harm reduction service </w:t>
      </w:r>
    </w:p>
    <w:p w14:paraId="223AD35B" w14:textId="77777777" w:rsidR="00511496"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 xml:space="preserve">Assessment service </w:t>
      </w:r>
    </w:p>
    <w:p w14:paraId="1D25D19D" w14:textId="77777777" w:rsidR="00511496" w:rsidRPr="00AC6E39"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 xml:space="preserve">Childcare service for parents with a substance use history </w:t>
      </w:r>
    </w:p>
    <w:p w14:paraId="6EC89046" w14:textId="49F88488" w:rsidR="00511496"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Key-working, care-planning, &amp; case-management support</w:t>
      </w:r>
      <w:r w:rsidR="000B052E">
        <w:rPr>
          <w:b/>
          <w:color w:val="000000"/>
          <w:sz w:val="18"/>
        </w:rPr>
        <w:t>s</w:t>
      </w:r>
      <w:r>
        <w:rPr>
          <w:b/>
          <w:color w:val="000000"/>
          <w:sz w:val="18"/>
        </w:rPr>
        <w:t xml:space="preserve"> </w:t>
      </w:r>
    </w:p>
    <w:p w14:paraId="1F53C2B2" w14:textId="77777777" w:rsidR="00511496"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 xml:space="preserve">Addiction counselling </w:t>
      </w:r>
    </w:p>
    <w:p w14:paraId="6B60E47A" w14:textId="3473562B" w:rsidR="00511496"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Family support group</w:t>
      </w:r>
      <w:r w:rsidR="00476DAC">
        <w:rPr>
          <w:b/>
          <w:color w:val="000000"/>
          <w:sz w:val="18"/>
        </w:rPr>
        <w:t>s</w:t>
      </w:r>
      <w:r>
        <w:rPr>
          <w:b/>
          <w:color w:val="000000"/>
          <w:sz w:val="18"/>
        </w:rPr>
        <w:t xml:space="preserve"> </w:t>
      </w:r>
    </w:p>
    <w:p w14:paraId="7F2A16E6" w14:textId="43BF240B" w:rsidR="00511496" w:rsidRDefault="00511496"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 xml:space="preserve">Family support counselling service </w:t>
      </w:r>
    </w:p>
    <w:p w14:paraId="16D6829B" w14:textId="665FA974" w:rsidR="00511496" w:rsidRPr="00A16851" w:rsidRDefault="00476DAC" w:rsidP="0087116C">
      <w:pPr>
        <w:numPr>
          <w:ilvl w:val="0"/>
          <w:numId w:val="1"/>
        </w:numPr>
        <w:pBdr>
          <w:top w:val="nil"/>
          <w:left w:val="nil"/>
          <w:bottom w:val="nil"/>
          <w:right w:val="nil"/>
          <w:between w:val="nil"/>
        </w:pBdr>
        <w:spacing w:after="0" w:line="360" w:lineRule="auto"/>
        <w:ind w:left="714" w:hanging="357"/>
        <w:rPr>
          <w:b/>
          <w:color w:val="000000"/>
          <w:sz w:val="18"/>
        </w:rPr>
      </w:pPr>
      <w:r>
        <w:rPr>
          <w:b/>
          <w:color w:val="000000"/>
          <w:sz w:val="18"/>
        </w:rPr>
        <w:t>Pscho-e</w:t>
      </w:r>
      <w:r w:rsidR="00511496">
        <w:rPr>
          <w:b/>
          <w:color w:val="000000"/>
          <w:sz w:val="18"/>
        </w:rPr>
        <w:t>ducation</w:t>
      </w:r>
      <w:r>
        <w:rPr>
          <w:b/>
          <w:color w:val="000000"/>
          <w:sz w:val="18"/>
        </w:rPr>
        <w:t>al</w:t>
      </w:r>
      <w:r w:rsidR="00511496">
        <w:rPr>
          <w:b/>
          <w:color w:val="000000"/>
          <w:sz w:val="18"/>
        </w:rPr>
        <w:t xml:space="preserve"> </w:t>
      </w:r>
      <w:r w:rsidR="00A16851">
        <w:rPr>
          <w:b/>
          <w:color w:val="000000"/>
          <w:sz w:val="18"/>
        </w:rPr>
        <w:t>supports</w:t>
      </w:r>
    </w:p>
    <w:p w14:paraId="2B37ACCD" w14:textId="77777777" w:rsidR="00511496" w:rsidRPr="001D4D71" w:rsidRDefault="00511496" w:rsidP="0087116C">
      <w:pPr>
        <w:pBdr>
          <w:top w:val="nil"/>
          <w:left w:val="nil"/>
          <w:bottom w:val="nil"/>
          <w:right w:val="nil"/>
          <w:between w:val="nil"/>
        </w:pBdr>
        <w:spacing w:after="0" w:line="360" w:lineRule="auto"/>
        <w:rPr>
          <w:color w:val="000000"/>
          <w:sz w:val="18"/>
        </w:rPr>
      </w:pPr>
    </w:p>
    <w:p w14:paraId="1547B6F9" w14:textId="5D1BFE76" w:rsidR="00472281" w:rsidRDefault="007F77CE" w:rsidP="0087116C">
      <w:pPr>
        <w:spacing w:after="0" w:line="360" w:lineRule="auto"/>
        <w:rPr>
          <w:sz w:val="18"/>
        </w:rPr>
      </w:pPr>
      <w:r w:rsidRPr="001D4D71">
        <w:rPr>
          <w:sz w:val="18"/>
        </w:rPr>
        <w:t>Our</w:t>
      </w:r>
      <w:r w:rsidR="00CE4AC7">
        <w:rPr>
          <w:sz w:val="18"/>
        </w:rPr>
        <w:t xml:space="preserve"> opioid substitution</w:t>
      </w:r>
      <w:r w:rsidRPr="001D4D71">
        <w:rPr>
          <w:sz w:val="18"/>
        </w:rPr>
        <w:t xml:space="preserve"> treatment programme, needle exchange</w:t>
      </w:r>
      <w:r w:rsidR="000A4EA0">
        <w:rPr>
          <w:sz w:val="18"/>
        </w:rPr>
        <w:t>,</w:t>
      </w:r>
      <w:r w:rsidRPr="001D4D71">
        <w:rPr>
          <w:sz w:val="18"/>
        </w:rPr>
        <w:t xml:space="preserve"> and harm reduction service</w:t>
      </w:r>
      <w:r w:rsidR="00CE4AC7">
        <w:rPr>
          <w:sz w:val="18"/>
        </w:rPr>
        <w:t>s are</w:t>
      </w:r>
      <w:r w:rsidRPr="001D4D71">
        <w:rPr>
          <w:sz w:val="18"/>
        </w:rPr>
        <w:t xml:space="preserve"> targeted toward</w:t>
      </w:r>
      <w:r w:rsidR="00476DAC">
        <w:rPr>
          <w:sz w:val="18"/>
        </w:rPr>
        <w:t>s</w:t>
      </w:r>
      <w:r w:rsidRPr="001D4D71">
        <w:rPr>
          <w:sz w:val="18"/>
        </w:rPr>
        <w:t xml:space="preserve"> changing the devastating outcomes of drug addiction experienced by many individuals and families, while our </w:t>
      </w:r>
      <w:r w:rsidR="00D84449" w:rsidRPr="001D4D71">
        <w:rPr>
          <w:sz w:val="18"/>
        </w:rPr>
        <w:t>evidence-based</w:t>
      </w:r>
      <w:r w:rsidRPr="001D4D71">
        <w:rPr>
          <w:sz w:val="18"/>
        </w:rPr>
        <w:t xml:space="preserve"> rehabilitation program</w:t>
      </w:r>
      <w:r w:rsidR="00476DAC">
        <w:rPr>
          <w:sz w:val="18"/>
        </w:rPr>
        <w:t>me</w:t>
      </w:r>
      <w:r w:rsidRPr="001D4D71">
        <w:rPr>
          <w:sz w:val="18"/>
        </w:rPr>
        <w:t>s provide the specialised suppor</w:t>
      </w:r>
      <w:r w:rsidR="00476DAC">
        <w:rPr>
          <w:sz w:val="18"/>
        </w:rPr>
        <w:t>ts that</w:t>
      </w:r>
      <w:r w:rsidRPr="001D4D71">
        <w:rPr>
          <w:sz w:val="18"/>
        </w:rPr>
        <w:t xml:space="preserve"> </w:t>
      </w:r>
      <w:r w:rsidR="006810C4">
        <w:rPr>
          <w:sz w:val="18"/>
        </w:rPr>
        <w:t xml:space="preserve">individuals </w:t>
      </w:r>
      <w:r w:rsidRPr="001D4D71">
        <w:rPr>
          <w:sz w:val="18"/>
        </w:rPr>
        <w:t xml:space="preserve">need to change their lives. </w:t>
      </w:r>
      <w:r w:rsidR="00C834B2">
        <w:rPr>
          <w:sz w:val="18"/>
        </w:rPr>
        <w:t xml:space="preserve">These services have developed in partnership with the HSE </w:t>
      </w:r>
      <w:r w:rsidR="00476DAC">
        <w:rPr>
          <w:sz w:val="18"/>
        </w:rPr>
        <w:t>A</w:t>
      </w:r>
      <w:r w:rsidR="00C834B2">
        <w:rPr>
          <w:sz w:val="18"/>
        </w:rPr>
        <w:t xml:space="preserve">ddiction </w:t>
      </w:r>
      <w:r w:rsidR="00CE4AC7">
        <w:rPr>
          <w:sz w:val="18"/>
        </w:rPr>
        <w:t xml:space="preserve">Services and are aligned to best practice. These </w:t>
      </w:r>
      <w:r w:rsidR="00820C83">
        <w:rPr>
          <w:sz w:val="18"/>
        </w:rPr>
        <w:t>services</w:t>
      </w:r>
      <w:r w:rsidR="00476DAC">
        <w:rPr>
          <w:sz w:val="18"/>
        </w:rPr>
        <w:t xml:space="preserve"> are</w:t>
      </w:r>
      <w:r w:rsidR="00820C83">
        <w:rPr>
          <w:sz w:val="18"/>
        </w:rPr>
        <w:t xml:space="preserve"> delivered </w:t>
      </w:r>
      <w:r w:rsidR="00476DAC">
        <w:rPr>
          <w:sz w:val="18"/>
        </w:rPr>
        <w:t>seven</w:t>
      </w:r>
      <w:r w:rsidR="00820C83">
        <w:rPr>
          <w:sz w:val="18"/>
        </w:rPr>
        <w:t xml:space="preserve"> days</w:t>
      </w:r>
      <w:r w:rsidR="00476DAC">
        <w:rPr>
          <w:sz w:val="18"/>
        </w:rPr>
        <w:t xml:space="preserve"> a</w:t>
      </w:r>
      <w:r w:rsidR="00820C83">
        <w:rPr>
          <w:sz w:val="18"/>
        </w:rPr>
        <w:t xml:space="preserve"> week. </w:t>
      </w:r>
      <w:r w:rsidR="00C834B2">
        <w:rPr>
          <w:sz w:val="18"/>
        </w:rPr>
        <w:t xml:space="preserve"> </w:t>
      </w:r>
    </w:p>
    <w:p w14:paraId="7B43186A" w14:textId="77777777" w:rsidR="000A4EA0" w:rsidRPr="001D4D71" w:rsidRDefault="000A4EA0" w:rsidP="0087116C">
      <w:pPr>
        <w:spacing w:after="0" w:line="360" w:lineRule="auto"/>
        <w:rPr>
          <w:sz w:val="18"/>
        </w:rPr>
      </w:pPr>
    </w:p>
    <w:p w14:paraId="580C8FEB" w14:textId="78A71FA9" w:rsidR="00C23DFC" w:rsidRPr="00836C73" w:rsidRDefault="007F77CE" w:rsidP="0087116C">
      <w:pPr>
        <w:spacing w:after="0" w:line="360" w:lineRule="auto"/>
        <w:rPr>
          <w:color w:val="FF0000"/>
          <w:sz w:val="18"/>
        </w:rPr>
      </w:pPr>
      <w:r w:rsidRPr="001D4D71">
        <w:rPr>
          <w:sz w:val="18"/>
        </w:rPr>
        <w:t>Our family support</w:t>
      </w:r>
      <w:r w:rsidR="00476DAC">
        <w:rPr>
          <w:sz w:val="18"/>
        </w:rPr>
        <w:t xml:space="preserve"> service</w:t>
      </w:r>
      <w:r w:rsidRPr="001D4D71">
        <w:rPr>
          <w:sz w:val="18"/>
        </w:rPr>
        <w:t xml:space="preserve"> for children impacted by drug use provide</w:t>
      </w:r>
      <w:r w:rsidR="00476DAC">
        <w:rPr>
          <w:sz w:val="18"/>
        </w:rPr>
        <w:t>s</w:t>
      </w:r>
      <w:r w:rsidRPr="001D4D71">
        <w:rPr>
          <w:sz w:val="18"/>
        </w:rPr>
        <w:t xml:space="preserve"> not just a support network and </w:t>
      </w:r>
      <w:r w:rsidR="00CE4AC7">
        <w:rPr>
          <w:sz w:val="18"/>
        </w:rPr>
        <w:t>day</w:t>
      </w:r>
      <w:r w:rsidR="00CE4AC7" w:rsidRPr="001D4D71">
        <w:rPr>
          <w:sz w:val="18"/>
        </w:rPr>
        <w:t>-care</w:t>
      </w:r>
      <w:r w:rsidRPr="001D4D71">
        <w:rPr>
          <w:sz w:val="18"/>
        </w:rPr>
        <w:t xml:space="preserve"> for children but also</w:t>
      </w:r>
      <w:r w:rsidR="00476DAC">
        <w:rPr>
          <w:sz w:val="18"/>
        </w:rPr>
        <w:t xml:space="preserve"> ensures</w:t>
      </w:r>
      <w:r w:rsidRPr="001D4D71">
        <w:rPr>
          <w:sz w:val="18"/>
        </w:rPr>
        <w:t xml:space="preserve"> parents </w:t>
      </w:r>
      <w:r w:rsidR="00476DAC">
        <w:rPr>
          <w:sz w:val="18"/>
        </w:rPr>
        <w:t xml:space="preserve">have the time needed </w:t>
      </w:r>
      <w:r w:rsidRPr="001D4D71">
        <w:rPr>
          <w:sz w:val="18"/>
        </w:rPr>
        <w:t xml:space="preserve">to avail of counselling, key </w:t>
      </w:r>
      <w:r w:rsidR="00CE4AC7" w:rsidRPr="001D4D71">
        <w:rPr>
          <w:sz w:val="18"/>
        </w:rPr>
        <w:t>working,</w:t>
      </w:r>
      <w:r w:rsidRPr="001D4D71">
        <w:rPr>
          <w:sz w:val="18"/>
        </w:rPr>
        <w:t xml:space="preserve"> and drop-in services</w:t>
      </w:r>
      <w:r w:rsidR="00CE4AC7">
        <w:rPr>
          <w:sz w:val="18"/>
        </w:rPr>
        <w:t xml:space="preserve">, either in JADD or </w:t>
      </w:r>
      <w:r w:rsidR="00D84449">
        <w:rPr>
          <w:sz w:val="18"/>
        </w:rPr>
        <w:t>elsewhere</w:t>
      </w:r>
      <w:r w:rsidRPr="001D4D71">
        <w:rPr>
          <w:sz w:val="18"/>
        </w:rPr>
        <w:t xml:space="preserve">. </w:t>
      </w:r>
      <w:r w:rsidR="009C7EEE">
        <w:rPr>
          <w:sz w:val="18"/>
        </w:rPr>
        <w:t>O</w:t>
      </w:r>
      <w:r w:rsidRPr="001D4D71">
        <w:rPr>
          <w:sz w:val="18"/>
        </w:rPr>
        <w:t xml:space="preserve">ur </w:t>
      </w:r>
      <w:r w:rsidR="00476DAC">
        <w:rPr>
          <w:sz w:val="18"/>
        </w:rPr>
        <w:t>pscho-educational</w:t>
      </w:r>
      <w:r w:rsidRPr="001D4D71">
        <w:rPr>
          <w:sz w:val="18"/>
        </w:rPr>
        <w:t xml:space="preserve"> program</w:t>
      </w:r>
      <w:r w:rsidR="00476DAC">
        <w:rPr>
          <w:sz w:val="18"/>
        </w:rPr>
        <w:t>me</w:t>
      </w:r>
      <w:r w:rsidRPr="001D4D71">
        <w:rPr>
          <w:sz w:val="18"/>
        </w:rPr>
        <w:t xml:space="preserve">s create opportunities for educational advancement and personal development. </w:t>
      </w:r>
      <w:r w:rsidR="00836C73">
        <w:rPr>
          <w:color w:val="FF0000"/>
          <w:sz w:val="18"/>
        </w:rPr>
        <w:t xml:space="preserve"> </w:t>
      </w:r>
    </w:p>
    <w:p w14:paraId="74FA1C7C" w14:textId="77777777" w:rsidR="00472281" w:rsidRDefault="00472281" w:rsidP="0087116C">
      <w:pPr>
        <w:spacing w:after="0" w:line="360" w:lineRule="auto"/>
      </w:pPr>
    </w:p>
    <w:p w14:paraId="3A23B363" w14:textId="77777777" w:rsidR="009C7EEE" w:rsidRPr="009C7EEE" w:rsidRDefault="007F77CE" w:rsidP="0087116C">
      <w:pPr>
        <w:pStyle w:val="Heading2"/>
      </w:pPr>
      <w:bookmarkStart w:id="27" w:name="_Toc117669692"/>
      <w:bookmarkStart w:id="28" w:name="_Toc124260272"/>
      <w:r>
        <w:t>Our Governing Board</w:t>
      </w:r>
      <w:bookmarkEnd w:id="27"/>
      <w:bookmarkEnd w:id="28"/>
    </w:p>
    <w:p w14:paraId="06A5BE00" w14:textId="795A1802" w:rsidR="00472281" w:rsidRPr="006C63F3" w:rsidRDefault="007F77CE" w:rsidP="0087116C">
      <w:pPr>
        <w:spacing w:after="0" w:line="360" w:lineRule="auto"/>
        <w:rPr>
          <w:sz w:val="18"/>
        </w:rPr>
      </w:pPr>
      <w:r w:rsidRPr="006C63F3">
        <w:rPr>
          <w:sz w:val="18"/>
        </w:rPr>
        <w:t xml:space="preserve">Our board of directors/trustees between them bring years of expertise from the corporate and non-profit sectors with backgrounds in </w:t>
      </w:r>
      <w:r w:rsidR="00C23FA1">
        <w:rPr>
          <w:sz w:val="18"/>
        </w:rPr>
        <w:t>f</w:t>
      </w:r>
      <w:r w:rsidRPr="006C63F3">
        <w:rPr>
          <w:sz w:val="18"/>
        </w:rPr>
        <w:t xml:space="preserve">inance, </w:t>
      </w:r>
      <w:r w:rsidR="00C23FA1">
        <w:rPr>
          <w:sz w:val="18"/>
        </w:rPr>
        <w:t>e</w:t>
      </w:r>
      <w:r w:rsidRPr="006C63F3">
        <w:rPr>
          <w:sz w:val="18"/>
        </w:rPr>
        <w:t xml:space="preserve">ducation, </w:t>
      </w:r>
      <w:r w:rsidR="00820C83">
        <w:rPr>
          <w:sz w:val="18"/>
        </w:rPr>
        <w:t xml:space="preserve">media, </w:t>
      </w:r>
      <w:r w:rsidRPr="006C63F3">
        <w:rPr>
          <w:sz w:val="18"/>
        </w:rPr>
        <w:t xml:space="preserve">employment and community care. Their diverse range of skills and experience coupled with their passion for the work </w:t>
      </w:r>
      <w:r w:rsidR="00476DAC">
        <w:rPr>
          <w:sz w:val="18"/>
        </w:rPr>
        <w:t xml:space="preserve">helps JADD aspire to high levels of </w:t>
      </w:r>
      <w:r w:rsidRPr="006C63F3">
        <w:rPr>
          <w:sz w:val="18"/>
        </w:rPr>
        <w:t xml:space="preserve">good governance. </w:t>
      </w:r>
      <w:r w:rsidR="001D4D71" w:rsidRPr="006C63F3">
        <w:rPr>
          <w:sz w:val="18"/>
        </w:rPr>
        <w:t>The</w:t>
      </w:r>
      <w:r w:rsidR="00476DAC">
        <w:rPr>
          <w:sz w:val="18"/>
        </w:rPr>
        <w:t xml:space="preserve"> aim of the board is to ensure the</w:t>
      </w:r>
      <w:r w:rsidR="001D4D71" w:rsidRPr="006C63F3">
        <w:rPr>
          <w:sz w:val="18"/>
        </w:rPr>
        <w:t xml:space="preserve"> </w:t>
      </w:r>
      <w:r w:rsidRPr="006C63F3">
        <w:rPr>
          <w:sz w:val="18"/>
        </w:rPr>
        <w:t xml:space="preserve">highest quality </w:t>
      </w:r>
      <w:r w:rsidR="00476DAC">
        <w:rPr>
          <w:sz w:val="18"/>
        </w:rPr>
        <w:t xml:space="preserve">of </w:t>
      </w:r>
      <w:r w:rsidRPr="006C63F3">
        <w:rPr>
          <w:sz w:val="18"/>
        </w:rPr>
        <w:t xml:space="preserve">service provision </w:t>
      </w:r>
      <w:r w:rsidR="00476DAC">
        <w:rPr>
          <w:sz w:val="18"/>
        </w:rPr>
        <w:lastRenderedPageBreak/>
        <w:t>attainable with the available resources and to</w:t>
      </w:r>
      <w:r w:rsidRPr="006C63F3">
        <w:rPr>
          <w:sz w:val="18"/>
        </w:rPr>
        <w:t xml:space="preserve"> ensure we have a robust structure in place to meet all our legal obligations and compliance demands.</w:t>
      </w:r>
    </w:p>
    <w:p w14:paraId="1F76C218" w14:textId="77777777" w:rsidR="0081773B" w:rsidRDefault="0081773B" w:rsidP="0087116C">
      <w:pPr>
        <w:spacing w:after="0" w:line="360" w:lineRule="auto"/>
      </w:pPr>
    </w:p>
    <w:p w14:paraId="2A00E01F" w14:textId="77777777" w:rsidR="00B20882" w:rsidRDefault="0081773B" w:rsidP="0087116C">
      <w:pPr>
        <w:pStyle w:val="Heading2"/>
      </w:pPr>
      <w:bookmarkStart w:id="29" w:name="_Toc117669693"/>
      <w:bookmarkStart w:id="30" w:name="_Toc124260273"/>
      <w:r>
        <w:t xml:space="preserve">An </w:t>
      </w:r>
      <w:r w:rsidR="00A9135E">
        <w:t>I</w:t>
      </w:r>
      <w:r>
        <w:t>ntroduction to the Jobstown Area</w:t>
      </w:r>
      <w:bookmarkEnd w:id="29"/>
      <w:bookmarkEnd w:id="30"/>
    </w:p>
    <w:p w14:paraId="473C324D" w14:textId="16476EEB" w:rsidR="0081773B" w:rsidRPr="00581306" w:rsidRDefault="0081773B" w:rsidP="00581306">
      <w:pPr>
        <w:spacing w:after="0" w:line="360" w:lineRule="auto"/>
        <w:rPr>
          <w:sz w:val="18"/>
        </w:rPr>
      </w:pPr>
      <w:r w:rsidRPr="00476DAC">
        <w:rPr>
          <w:sz w:val="18"/>
        </w:rPr>
        <w:t>The population of the area is 17,824. Over half of Tallaght West (29,000 in 2011) is concentrated in Jobstown (Census 2016). Of this population males make up 8,637, and females 9</w:t>
      </w:r>
      <w:r w:rsidR="00A675E0" w:rsidRPr="00476DAC">
        <w:rPr>
          <w:sz w:val="18"/>
        </w:rPr>
        <w:t>,</w:t>
      </w:r>
      <w:r w:rsidRPr="00476DAC">
        <w:rPr>
          <w:sz w:val="18"/>
        </w:rPr>
        <w:t>187.</w:t>
      </w:r>
      <w:r w:rsidR="00476DAC" w:rsidRPr="00476DAC">
        <w:rPr>
          <w:sz w:val="18"/>
        </w:rPr>
        <w:t xml:space="preserve"> </w:t>
      </w:r>
      <w:r w:rsidRPr="00581306">
        <w:rPr>
          <w:sz w:val="18"/>
        </w:rPr>
        <w:t xml:space="preserve">18–64 year olds are largest population group </w:t>
      </w:r>
      <w:r w:rsidR="00A675E0" w:rsidRPr="00581306">
        <w:rPr>
          <w:sz w:val="18"/>
        </w:rPr>
        <w:t>at</w:t>
      </w:r>
      <w:r w:rsidR="00476DAC">
        <w:rPr>
          <w:sz w:val="18"/>
        </w:rPr>
        <w:t xml:space="preserve"> </w:t>
      </w:r>
      <w:r w:rsidRPr="00581306">
        <w:rPr>
          <w:sz w:val="18"/>
        </w:rPr>
        <w:t xml:space="preserve">10,628. Jobstown has only 465 people over the age of 64. </w:t>
      </w:r>
      <w:r w:rsidR="00476DAC">
        <w:rPr>
          <w:sz w:val="18"/>
        </w:rPr>
        <w:t>The area</w:t>
      </w:r>
      <w:r w:rsidRPr="00581306">
        <w:rPr>
          <w:sz w:val="18"/>
        </w:rPr>
        <w:t xml:space="preserve"> is expected to have an increase in population growth of 27% by 2026 bringing the population to approximately 22</w:t>
      </w:r>
      <w:r w:rsidR="00A675E0" w:rsidRPr="00581306">
        <w:rPr>
          <w:sz w:val="18"/>
        </w:rPr>
        <w:t>,</w:t>
      </w:r>
      <w:r w:rsidRPr="00581306">
        <w:rPr>
          <w:sz w:val="18"/>
        </w:rPr>
        <w:t>738.</w:t>
      </w:r>
    </w:p>
    <w:p w14:paraId="6B6290CE" w14:textId="77777777" w:rsidR="0081773B" w:rsidRPr="0081773B" w:rsidRDefault="0081773B" w:rsidP="0087116C">
      <w:pPr>
        <w:spacing w:after="0" w:line="360" w:lineRule="auto"/>
        <w:rPr>
          <w:sz w:val="18"/>
        </w:rPr>
      </w:pPr>
    </w:p>
    <w:p w14:paraId="1446C885" w14:textId="3BB37BFC" w:rsidR="00A9135E" w:rsidRPr="0081773B" w:rsidRDefault="0081773B" w:rsidP="0087116C">
      <w:pPr>
        <w:spacing w:after="0" w:line="360" w:lineRule="auto"/>
        <w:rPr>
          <w:sz w:val="18"/>
        </w:rPr>
      </w:pPr>
      <w:r w:rsidRPr="0081773B">
        <w:rPr>
          <w:sz w:val="18"/>
        </w:rPr>
        <w:t>Jobstown has the highest percentage of yo</w:t>
      </w:r>
      <w:r w:rsidR="00AD392C">
        <w:rPr>
          <w:sz w:val="18"/>
        </w:rPr>
        <w:t>ung people in the Tallaght Drug &amp; Alcohol</w:t>
      </w:r>
      <w:r w:rsidRPr="0081773B">
        <w:rPr>
          <w:sz w:val="18"/>
        </w:rPr>
        <w:t xml:space="preserve"> Task Force Area</w:t>
      </w:r>
      <w:r>
        <w:rPr>
          <w:sz w:val="18"/>
        </w:rPr>
        <w:t xml:space="preserve">, and </w:t>
      </w:r>
      <w:r w:rsidRPr="0081773B">
        <w:rPr>
          <w:sz w:val="18"/>
        </w:rPr>
        <w:t>has an unemployment rate of 22.59</w:t>
      </w:r>
      <w:r w:rsidR="00F150AF">
        <w:rPr>
          <w:sz w:val="18"/>
        </w:rPr>
        <w:t>%</w:t>
      </w:r>
      <w:r w:rsidRPr="0081773B">
        <w:rPr>
          <w:sz w:val="18"/>
        </w:rPr>
        <w:t xml:space="preserve"> as of 2017 (unemployment rate nationally is 7.9% - Killinarden has the 2</w:t>
      </w:r>
      <w:r w:rsidRPr="0081773B">
        <w:rPr>
          <w:sz w:val="18"/>
          <w:vertAlign w:val="superscript"/>
        </w:rPr>
        <w:t>nd</w:t>
      </w:r>
      <w:r w:rsidRPr="0081773B">
        <w:rPr>
          <w:sz w:val="18"/>
        </w:rPr>
        <w:t xml:space="preserve"> highest unemployment rate in the nation). According to the TDATF Jobstown has a deprivation score of -6.9 which is marginally below the </w:t>
      </w:r>
      <w:r>
        <w:rPr>
          <w:sz w:val="18"/>
        </w:rPr>
        <w:t xml:space="preserve">national </w:t>
      </w:r>
      <w:r w:rsidRPr="0081773B">
        <w:rPr>
          <w:sz w:val="18"/>
        </w:rPr>
        <w:t>average.</w:t>
      </w:r>
      <w:r>
        <w:rPr>
          <w:sz w:val="18"/>
        </w:rPr>
        <w:t xml:space="preserve"> Only </w:t>
      </w:r>
      <w:r w:rsidRPr="0081773B">
        <w:rPr>
          <w:sz w:val="18"/>
        </w:rPr>
        <w:t>40% of household</w:t>
      </w:r>
      <w:r>
        <w:rPr>
          <w:sz w:val="18"/>
        </w:rPr>
        <w:t>s</w:t>
      </w:r>
      <w:r w:rsidRPr="0081773B">
        <w:rPr>
          <w:sz w:val="18"/>
        </w:rPr>
        <w:t xml:space="preserve"> are owner occupier versus national average of 70%.</w:t>
      </w:r>
      <w:r w:rsidR="00A9135E" w:rsidRPr="00A9135E">
        <w:rPr>
          <w:sz w:val="18"/>
        </w:rPr>
        <w:t xml:space="preserve"> </w:t>
      </w:r>
      <w:r w:rsidR="00A9135E" w:rsidRPr="0081773B">
        <w:rPr>
          <w:sz w:val="18"/>
        </w:rPr>
        <w:t>The Tallaght West Childhood Development Initiative</w:t>
      </w:r>
      <w:r w:rsidR="00476DAC">
        <w:rPr>
          <w:sz w:val="18"/>
        </w:rPr>
        <w:t>, found in research done in 2017 that</w:t>
      </w:r>
      <w:r w:rsidR="00A9135E" w:rsidRPr="0081773B">
        <w:rPr>
          <w:sz w:val="18"/>
        </w:rPr>
        <w:t xml:space="preserve"> Tallaght West one parent family rate of 12.1% in 1987 </w:t>
      </w:r>
      <w:r w:rsidR="00476DAC">
        <w:rPr>
          <w:sz w:val="18"/>
        </w:rPr>
        <w:t xml:space="preserve">rose </w:t>
      </w:r>
      <w:r w:rsidR="00A9135E" w:rsidRPr="0081773B">
        <w:rPr>
          <w:sz w:val="18"/>
        </w:rPr>
        <w:t>to 29.1% in 2006 (the current rate for the entire nation is 17.1)</w:t>
      </w:r>
      <w:r w:rsidR="00476DAC">
        <w:rPr>
          <w:sz w:val="18"/>
        </w:rPr>
        <w:t>, showing a rapid change in family structure</w:t>
      </w:r>
      <w:r w:rsidR="00A9135E" w:rsidRPr="0081773B">
        <w:rPr>
          <w:sz w:val="18"/>
        </w:rPr>
        <w:t>.</w:t>
      </w:r>
    </w:p>
    <w:p w14:paraId="7A87400D" w14:textId="77777777" w:rsidR="0081773B" w:rsidRDefault="0081773B" w:rsidP="0087116C">
      <w:pPr>
        <w:spacing w:after="0" w:line="360" w:lineRule="auto"/>
        <w:rPr>
          <w:szCs w:val="20"/>
        </w:rPr>
      </w:pPr>
    </w:p>
    <w:p w14:paraId="31B12A3C" w14:textId="24F4D5BF" w:rsidR="0081773B" w:rsidRPr="0081773B" w:rsidRDefault="00A9135E" w:rsidP="0087116C">
      <w:pPr>
        <w:spacing w:after="0" w:line="360" w:lineRule="auto"/>
        <w:rPr>
          <w:sz w:val="18"/>
        </w:rPr>
      </w:pPr>
      <w:r>
        <w:rPr>
          <w:sz w:val="18"/>
        </w:rPr>
        <w:t xml:space="preserve">In the 2016 census, </w:t>
      </w:r>
      <w:r w:rsidR="0081773B" w:rsidRPr="0081773B">
        <w:rPr>
          <w:sz w:val="18"/>
        </w:rPr>
        <w:t>13,942 identified as Irish and born in Ireland,</w:t>
      </w:r>
      <w:r w:rsidR="00476DAC">
        <w:rPr>
          <w:sz w:val="18"/>
        </w:rPr>
        <w:t xml:space="preserve"> and</w:t>
      </w:r>
      <w:r w:rsidR="0081773B" w:rsidRPr="0081773B">
        <w:rPr>
          <w:sz w:val="18"/>
        </w:rPr>
        <w:t xml:space="preserve"> 902 identified as Polish</w:t>
      </w:r>
      <w:r w:rsidR="00476DAC">
        <w:rPr>
          <w:sz w:val="18"/>
        </w:rPr>
        <w:t>,</w:t>
      </w:r>
      <w:r w:rsidR="0081773B" w:rsidRPr="0081773B">
        <w:rPr>
          <w:sz w:val="18"/>
        </w:rPr>
        <w:t xml:space="preserve"> making </w:t>
      </w:r>
      <w:r w:rsidR="00476DAC">
        <w:rPr>
          <w:sz w:val="18"/>
        </w:rPr>
        <w:t xml:space="preserve">this the </w:t>
      </w:r>
      <w:r w:rsidR="0081773B" w:rsidRPr="0081773B">
        <w:rPr>
          <w:sz w:val="18"/>
        </w:rPr>
        <w:t>second largest group by ethnicity. The remaining population identify as British, as coming from another area of Eastern Europe and of undisclosed ethnicity. 14</w:t>
      </w:r>
      <w:r>
        <w:rPr>
          <w:sz w:val="18"/>
        </w:rPr>
        <w:t>,</w:t>
      </w:r>
      <w:r w:rsidR="0081773B" w:rsidRPr="0081773B">
        <w:rPr>
          <w:sz w:val="18"/>
        </w:rPr>
        <w:t>358 identif</w:t>
      </w:r>
      <w:r w:rsidR="00476DAC">
        <w:rPr>
          <w:sz w:val="18"/>
        </w:rPr>
        <w:t>ed</w:t>
      </w:r>
      <w:r w:rsidR="0081773B" w:rsidRPr="0081773B">
        <w:rPr>
          <w:sz w:val="18"/>
        </w:rPr>
        <w:t xml:space="preserve"> as White, 1</w:t>
      </w:r>
      <w:r>
        <w:rPr>
          <w:sz w:val="18"/>
        </w:rPr>
        <w:t>,</w:t>
      </w:r>
      <w:r w:rsidR="0081773B" w:rsidRPr="0081773B">
        <w:rPr>
          <w:sz w:val="18"/>
        </w:rPr>
        <w:t xml:space="preserve">753 as Black, </w:t>
      </w:r>
      <w:r w:rsidR="00476DAC">
        <w:rPr>
          <w:sz w:val="18"/>
        </w:rPr>
        <w:t xml:space="preserve">and </w:t>
      </w:r>
      <w:r w:rsidR="0081773B" w:rsidRPr="0081773B">
        <w:rPr>
          <w:sz w:val="18"/>
        </w:rPr>
        <w:t>789 as Asian (remaining numbers undisclosed).</w:t>
      </w:r>
      <w:r>
        <w:rPr>
          <w:sz w:val="18"/>
        </w:rPr>
        <w:t xml:space="preserve"> Statistics for Travellers in the local population are not available.</w:t>
      </w:r>
      <w:r w:rsidR="00476DAC">
        <w:rPr>
          <w:sz w:val="18"/>
        </w:rPr>
        <w:t xml:space="preserve"> </w:t>
      </w:r>
    </w:p>
    <w:p w14:paraId="74AE0ED8" w14:textId="77777777" w:rsidR="0081773B" w:rsidRPr="0081773B" w:rsidRDefault="0081773B" w:rsidP="0087116C">
      <w:pPr>
        <w:spacing w:after="0" w:line="360" w:lineRule="auto"/>
        <w:rPr>
          <w:sz w:val="18"/>
        </w:rPr>
      </w:pPr>
    </w:p>
    <w:p w14:paraId="547C6682" w14:textId="4C06F4E3" w:rsidR="0081773B" w:rsidRPr="00581306" w:rsidRDefault="0081773B" w:rsidP="0087116C">
      <w:pPr>
        <w:spacing w:after="0" w:line="360" w:lineRule="auto"/>
        <w:rPr>
          <w:color w:val="000000" w:themeColor="text1"/>
          <w:sz w:val="18"/>
        </w:rPr>
      </w:pPr>
      <w:r w:rsidRPr="00581306">
        <w:rPr>
          <w:color w:val="000000" w:themeColor="text1"/>
          <w:sz w:val="18"/>
        </w:rPr>
        <w:t>Crack use exploded in the area as of 2018</w:t>
      </w:r>
      <w:r w:rsidR="0087116C">
        <w:rPr>
          <w:color w:val="000000" w:themeColor="text1"/>
          <w:sz w:val="18"/>
        </w:rPr>
        <w:t>, and has continued to grow</w:t>
      </w:r>
      <w:r w:rsidRPr="00581306">
        <w:rPr>
          <w:color w:val="000000" w:themeColor="text1"/>
          <w:sz w:val="18"/>
        </w:rPr>
        <w:t xml:space="preserve">. According to </w:t>
      </w:r>
      <w:r w:rsidR="00060FE2" w:rsidRPr="00581306">
        <w:rPr>
          <w:color w:val="000000" w:themeColor="text1"/>
          <w:sz w:val="18"/>
        </w:rPr>
        <w:t xml:space="preserve">research undertaken in </w:t>
      </w:r>
      <w:r w:rsidR="00060FE2">
        <w:rPr>
          <w:color w:val="000000" w:themeColor="text1"/>
          <w:sz w:val="18"/>
        </w:rPr>
        <w:t>20</w:t>
      </w:r>
      <w:r w:rsidR="0087116C">
        <w:rPr>
          <w:color w:val="000000" w:themeColor="text1"/>
          <w:sz w:val="18"/>
        </w:rPr>
        <w:t>21</w:t>
      </w:r>
      <w:r w:rsidR="00060FE2">
        <w:rPr>
          <w:color w:val="000000" w:themeColor="text1"/>
          <w:sz w:val="18"/>
        </w:rPr>
        <w:t xml:space="preserve"> </w:t>
      </w:r>
      <w:r w:rsidRPr="00581306">
        <w:rPr>
          <w:color w:val="000000" w:themeColor="text1"/>
          <w:sz w:val="18"/>
        </w:rPr>
        <w:t xml:space="preserve">the administration of </w:t>
      </w:r>
      <w:r w:rsidR="00F150AF" w:rsidRPr="00581306">
        <w:rPr>
          <w:color w:val="000000" w:themeColor="text1"/>
          <w:sz w:val="18"/>
        </w:rPr>
        <w:t>c</w:t>
      </w:r>
      <w:r w:rsidRPr="00581306">
        <w:rPr>
          <w:color w:val="000000" w:themeColor="text1"/>
          <w:sz w:val="18"/>
        </w:rPr>
        <w:t>rack pipes over the seven months of January to August 2021 surpassed the figure for the entirety of 2020</w:t>
      </w:r>
      <w:r w:rsidR="00060FE2" w:rsidRPr="00581306">
        <w:rPr>
          <w:rStyle w:val="FootnoteReference"/>
          <w:color w:val="000000" w:themeColor="text1"/>
          <w:sz w:val="18"/>
        </w:rPr>
        <w:footnoteReference w:id="1"/>
      </w:r>
      <w:r w:rsidRPr="00581306">
        <w:rPr>
          <w:color w:val="000000" w:themeColor="text1"/>
          <w:sz w:val="18"/>
        </w:rPr>
        <w:t>.</w:t>
      </w:r>
      <w:r w:rsidR="0087116C">
        <w:rPr>
          <w:color w:val="000000" w:themeColor="text1"/>
          <w:sz w:val="18"/>
        </w:rPr>
        <w:t xml:space="preserve"> This trend is also observed by staff of JADD, who note its increasing prevalence and the challenge in supporting people using crack into recovery pathways.</w:t>
      </w:r>
    </w:p>
    <w:p w14:paraId="437574C0" w14:textId="77777777" w:rsidR="0081773B" w:rsidRPr="0081773B" w:rsidRDefault="0081773B" w:rsidP="0087116C">
      <w:pPr>
        <w:pStyle w:val="Heading2"/>
        <w:numPr>
          <w:ilvl w:val="0"/>
          <w:numId w:val="0"/>
        </w:numPr>
        <w:ind w:left="576"/>
      </w:pPr>
    </w:p>
    <w:p w14:paraId="0C0CB655" w14:textId="41ED8CA5" w:rsidR="00A9135E" w:rsidRPr="00A9135E" w:rsidRDefault="00A44A65" w:rsidP="0087116C">
      <w:pPr>
        <w:spacing w:line="360" w:lineRule="auto"/>
        <w:rPr>
          <w:sz w:val="18"/>
        </w:rPr>
      </w:pPr>
      <w:r>
        <w:rPr>
          <w:sz w:val="18"/>
        </w:rPr>
        <w:t>In summary th</w:t>
      </w:r>
      <w:r w:rsidR="00A9135E" w:rsidRPr="00A9135E">
        <w:rPr>
          <w:sz w:val="18"/>
        </w:rPr>
        <w:t>e area served by JADD is one of significant disadvantage</w:t>
      </w:r>
      <w:r w:rsidR="00A9135E">
        <w:rPr>
          <w:sz w:val="18"/>
        </w:rPr>
        <w:t>, this is highlight</w:t>
      </w:r>
      <w:r>
        <w:rPr>
          <w:sz w:val="18"/>
        </w:rPr>
        <w:t>ed</w:t>
      </w:r>
      <w:r w:rsidR="00A9135E">
        <w:rPr>
          <w:sz w:val="18"/>
        </w:rPr>
        <w:t xml:space="preserve"> by the following information</w:t>
      </w:r>
      <w:r w:rsidR="00F270D1">
        <w:rPr>
          <w:sz w:val="18"/>
        </w:rPr>
        <w:t>:</w:t>
      </w:r>
      <w:r w:rsidR="00A9135E">
        <w:rPr>
          <w:sz w:val="18"/>
        </w:rPr>
        <w:t xml:space="preserve"> </w:t>
      </w:r>
    </w:p>
    <w:p w14:paraId="5EBB806B" w14:textId="77777777" w:rsidR="0081773B" w:rsidRPr="00A9135E" w:rsidRDefault="0081773B" w:rsidP="0087116C">
      <w:pPr>
        <w:pStyle w:val="ListParagraph"/>
        <w:numPr>
          <w:ilvl w:val="0"/>
          <w:numId w:val="17"/>
        </w:numPr>
        <w:spacing w:after="0" w:line="360" w:lineRule="auto"/>
        <w:rPr>
          <w:sz w:val="18"/>
        </w:rPr>
      </w:pPr>
      <w:r w:rsidRPr="00A9135E">
        <w:rPr>
          <w:sz w:val="18"/>
        </w:rPr>
        <w:t>More than double the national level of one parent families</w:t>
      </w:r>
    </w:p>
    <w:p w14:paraId="5A3A62C9" w14:textId="77777777" w:rsidR="0081773B" w:rsidRPr="00A9135E" w:rsidRDefault="0081773B" w:rsidP="0087116C">
      <w:pPr>
        <w:pStyle w:val="ListParagraph"/>
        <w:numPr>
          <w:ilvl w:val="0"/>
          <w:numId w:val="17"/>
        </w:numPr>
        <w:spacing w:after="0" w:line="360" w:lineRule="auto"/>
        <w:rPr>
          <w:sz w:val="18"/>
        </w:rPr>
      </w:pPr>
      <w:r w:rsidRPr="00A9135E">
        <w:rPr>
          <w:sz w:val="18"/>
        </w:rPr>
        <w:t>High concentration of semi-skilled and unskilled workforce (34% versus national average of 16%)</w:t>
      </w:r>
    </w:p>
    <w:p w14:paraId="0CEC91AA" w14:textId="51396A29" w:rsidR="0081773B" w:rsidRPr="00A9135E" w:rsidRDefault="0081773B" w:rsidP="0087116C">
      <w:pPr>
        <w:pStyle w:val="ListParagraph"/>
        <w:numPr>
          <w:ilvl w:val="0"/>
          <w:numId w:val="17"/>
        </w:numPr>
        <w:spacing w:after="0" w:line="360" w:lineRule="auto"/>
        <w:rPr>
          <w:sz w:val="18"/>
        </w:rPr>
      </w:pPr>
      <w:r w:rsidRPr="00A9135E">
        <w:rPr>
          <w:sz w:val="18"/>
        </w:rPr>
        <w:t>High unemployment level</w:t>
      </w:r>
      <w:r w:rsidR="00A44A65">
        <w:rPr>
          <w:sz w:val="18"/>
        </w:rPr>
        <w:t xml:space="preserve"> at</w:t>
      </w:r>
      <w:r w:rsidRPr="00A9135E">
        <w:rPr>
          <w:sz w:val="18"/>
        </w:rPr>
        <w:t xml:space="preserve"> twice the national average</w:t>
      </w:r>
    </w:p>
    <w:p w14:paraId="6A9CD5A9" w14:textId="22AA8708" w:rsidR="0081773B" w:rsidRPr="00A9135E" w:rsidRDefault="0081773B" w:rsidP="0087116C">
      <w:pPr>
        <w:pStyle w:val="ListParagraph"/>
        <w:numPr>
          <w:ilvl w:val="0"/>
          <w:numId w:val="17"/>
        </w:numPr>
        <w:spacing w:after="0" w:line="360" w:lineRule="auto"/>
        <w:rPr>
          <w:sz w:val="18"/>
        </w:rPr>
      </w:pPr>
      <w:r w:rsidRPr="00A9135E">
        <w:rPr>
          <w:sz w:val="18"/>
        </w:rPr>
        <w:t>High concentration of rented social housing</w:t>
      </w:r>
      <w:r w:rsidR="00A44A65">
        <w:rPr>
          <w:sz w:val="18"/>
        </w:rPr>
        <w:t xml:space="preserve"> at</w:t>
      </w:r>
      <w:r w:rsidRPr="00A9135E">
        <w:rPr>
          <w:sz w:val="18"/>
        </w:rPr>
        <w:t xml:space="preserve"> four times the national average</w:t>
      </w:r>
    </w:p>
    <w:p w14:paraId="1DBDA95C" w14:textId="196E4396" w:rsidR="00C23DFC" w:rsidRDefault="0081773B" w:rsidP="0087116C">
      <w:pPr>
        <w:pStyle w:val="ListParagraph"/>
        <w:spacing w:after="0" w:line="360" w:lineRule="auto"/>
        <w:rPr>
          <w:sz w:val="18"/>
        </w:rPr>
      </w:pPr>
      <w:r w:rsidRPr="00A9135E">
        <w:rPr>
          <w:sz w:val="18"/>
        </w:rPr>
        <w:t>Considerably lower levels of education</w:t>
      </w:r>
      <w:r w:rsidR="00A44A65">
        <w:rPr>
          <w:sz w:val="18"/>
        </w:rPr>
        <w:t>,</w:t>
      </w:r>
      <w:r w:rsidRPr="00A9135E">
        <w:rPr>
          <w:sz w:val="18"/>
        </w:rPr>
        <w:t xml:space="preserve"> with less tha</w:t>
      </w:r>
      <w:r w:rsidR="001A350F">
        <w:rPr>
          <w:sz w:val="18"/>
        </w:rPr>
        <w:t xml:space="preserve">n </w:t>
      </w:r>
      <w:r w:rsidRPr="00A9135E">
        <w:rPr>
          <w:sz w:val="18"/>
        </w:rPr>
        <w:t>half the national level of people with professional qualifications.</w:t>
      </w:r>
    </w:p>
    <w:p w14:paraId="3476FAF0" w14:textId="77777777" w:rsidR="00A44A65" w:rsidRPr="00A9135E" w:rsidRDefault="00A44A65" w:rsidP="0087116C">
      <w:pPr>
        <w:pStyle w:val="ListParagraph"/>
        <w:spacing w:after="0" w:line="360" w:lineRule="auto"/>
        <w:rPr>
          <w:sz w:val="18"/>
        </w:rPr>
      </w:pPr>
    </w:p>
    <w:p w14:paraId="5C014267" w14:textId="77777777" w:rsidR="001F5F4A" w:rsidRPr="001F5F4A" w:rsidRDefault="00EC772D" w:rsidP="0087116C">
      <w:pPr>
        <w:pStyle w:val="Heading2"/>
      </w:pPr>
      <w:bookmarkStart w:id="31" w:name="_Toc117669694"/>
      <w:bookmarkStart w:id="32" w:name="_Toc124260274"/>
      <w:r>
        <w:lastRenderedPageBreak/>
        <w:t xml:space="preserve">National, </w:t>
      </w:r>
      <w:r w:rsidR="00C23DFC">
        <w:t>R</w:t>
      </w:r>
      <w:r>
        <w:t xml:space="preserve">egional, and </w:t>
      </w:r>
      <w:r w:rsidR="00C23DFC">
        <w:t>L</w:t>
      </w:r>
      <w:r>
        <w:t xml:space="preserve">ocal </w:t>
      </w:r>
      <w:r w:rsidR="00C23DFC">
        <w:t>T</w:t>
      </w:r>
      <w:r w:rsidR="00AC6E39">
        <w:t xml:space="preserve">rends in </w:t>
      </w:r>
      <w:r w:rsidR="00C23DFC">
        <w:t>D</w:t>
      </w:r>
      <w:r w:rsidR="00AC6E39">
        <w:t xml:space="preserve">rug </w:t>
      </w:r>
      <w:r w:rsidR="00C23DFC">
        <w:t>U</w:t>
      </w:r>
      <w:r w:rsidR="00AC6E39">
        <w:t>se</w:t>
      </w:r>
      <w:bookmarkEnd w:id="31"/>
      <w:bookmarkEnd w:id="32"/>
    </w:p>
    <w:p w14:paraId="375D4C2D" w14:textId="561D2B4C" w:rsidR="008773E3" w:rsidRDefault="00294CC3" w:rsidP="0087116C">
      <w:pPr>
        <w:spacing w:line="360" w:lineRule="auto"/>
        <w:rPr>
          <w:sz w:val="18"/>
        </w:rPr>
      </w:pPr>
      <w:r>
        <w:rPr>
          <w:sz w:val="18"/>
        </w:rPr>
        <w:t>In 2021, 10,769 cases of treatment for problematic drug-use were reported in Ireland</w:t>
      </w:r>
      <w:r w:rsidR="00EE069E">
        <w:rPr>
          <w:sz w:val="18"/>
        </w:rPr>
        <w:t>.</w:t>
      </w:r>
      <w:r w:rsidR="007F151A">
        <w:rPr>
          <w:rStyle w:val="FootnoteReference"/>
          <w:sz w:val="18"/>
        </w:rPr>
        <w:footnoteReference w:id="2"/>
      </w:r>
      <w:r w:rsidR="00EE069E">
        <w:rPr>
          <w:sz w:val="18"/>
        </w:rPr>
        <w:t xml:space="preserve"> </w:t>
      </w:r>
      <w:r w:rsidR="008828E9">
        <w:rPr>
          <w:sz w:val="18"/>
        </w:rPr>
        <w:t xml:space="preserve">Covid-19 restrictions in 2020 had mixed impacts on drug-use depending on the type of substance. </w:t>
      </w:r>
      <w:r w:rsidR="00B9666A">
        <w:rPr>
          <w:sz w:val="18"/>
        </w:rPr>
        <w:t>For example, survey reporting of cocaine use decreased significantly during Covid-19 related restriction</w:t>
      </w:r>
      <w:r w:rsidR="00FD3F6D">
        <w:rPr>
          <w:sz w:val="18"/>
        </w:rPr>
        <w:t>s</w:t>
      </w:r>
      <w:r w:rsidR="00B9666A">
        <w:rPr>
          <w:sz w:val="18"/>
        </w:rPr>
        <w:t xml:space="preserve"> as opposed to self-reported cannabis use, which declined to a much smaller extent</w:t>
      </w:r>
      <w:r w:rsidR="00D04870">
        <w:rPr>
          <w:rStyle w:val="FootnoteReference"/>
          <w:sz w:val="18"/>
        </w:rPr>
        <w:footnoteReference w:id="3"/>
      </w:r>
      <w:r w:rsidR="00FD3F6D">
        <w:rPr>
          <w:sz w:val="18"/>
        </w:rPr>
        <w:t>.</w:t>
      </w:r>
      <w:r w:rsidR="00B9666A">
        <w:rPr>
          <w:sz w:val="18"/>
        </w:rPr>
        <w:t xml:space="preserve"> </w:t>
      </w:r>
    </w:p>
    <w:p w14:paraId="11401D43" w14:textId="77777777" w:rsidR="008773E3" w:rsidRDefault="00B9666A" w:rsidP="0087116C">
      <w:pPr>
        <w:spacing w:line="360" w:lineRule="auto"/>
        <w:rPr>
          <w:sz w:val="18"/>
        </w:rPr>
      </w:pPr>
      <w:r>
        <w:rPr>
          <w:sz w:val="18"/>
        </w:rPr>
        <w:t>However, despite the evidence for the impact of Covid-19 restrictions on cocaine-use, national data records a clear upward trend in treatments for cocaine and crack-cocaine in recent years. Cocaine was the second most used drug in the EMCDDA survey of Irish respondents in 2020, and of the 10,791</w:t>
      </w:r>
      <w:r w:rsidR="00037088">
        <w:rPr>
          <w:sz w:val="18"/>
        </w:rPr>
        <w:t xml:space="preserve"> </w:t>
      </w:r>
      <w:r>
        <w:rPr>
          <w:sz w:val="18"/>
        </w:rPr>
        <w:t>cases in 2021, 30% were for problematic cocaine use (N=3</w:t>
      </w:r>
      <w:r w:rsidR="00A740F0">
        <w:rPr>
          <w:sz w:val="18"/>
        </w:rPr>
        <w:t>,248</w:t>
      </w:r>
      <w:r>
        <w:rPr>
          <w:sz w:val="18"/>
        </w:rPr>
        <w:t>).</w:t>
      </w:r>
      <w:r w:rsidR="007F151A">
        <w:rPr>
          <w:rStyle w:val="FootnoteReference"/>
          <w:sz w:val="18"/>
        </w:rPr>
        <w:footnoteReference w:id="4"/>
      </w:r>
      <w:r>
        <w:rPr>
          <w:sz w:val="18"/>
        </w:rPr>
        <w:t xml:space="preserve"> </w:t>
      </w:r>
    </w:p>
    <w:p w14:paraId="63AF4EAE" w14:textId="77777777" w:rsidR="00AB284C" w:rsidRDefault="001F5F4A" w:rsidP="0087116C">
      <w:pPr>
        <w:spacing w:line="360" w:lineRule="auto"/>
        <w:rPr>
          <w:sz w:val="18"/>
        </w:rPr>
      </w:pPr>
      <w:r>
        <w:rPr>
          <w:sz w:val="18"/>
        </w:rPr>
        <w:t>This rise in cocaine and crack cocaine use is visible in data for treatments of cases for problematic drug use in C</w:t>
      </w:r>
      <w:r w:rsidR="00577EB9">
        <w:rPr>
          <w:sz w:val="18"/>
        </w:rPr>
        <w:t>o.</w:t>
      </w:r>
      <w:r>
        <w:rPr>
          <w:sz w:val="18"/>
        </w:rPr>
        <w:t xml:space="preserve"> Dublin. As Figure 1 illustrates, since 2017 cocaine has risen from accounting for 20% of reported treatments to 32% in 2021 throughout the county.</w:t>
      </w:r>
      <w:r w:rsidR="002A7A3E">
        <w:rPr>
          <w:sz w:val="18"/>
        </w:rPr>
        <w:t xml:space="preserve"> </w:t>
      </w:r>
    </w:p>
    <w:p w14:paraId="576A6404" w14:textId="77777777" w:rsidR="00AB284C" w:rsidRPr="004B6442" w:rsidRDefault="00AB284C" w:rsidP="0087116C">
      <w:pPr>
        <w:pStyle w:val="Caption"/>
        <w:spacing w:line="360" w:lineRule="auto"/>
        <w:rPr>
          <w:sz w:val="18"/>
        </w:rPr>
      </w:pPr>
      <w:r w:rsidRPr="005D60AB">
        <w:rPr>
          <w:sz w:val="18"/>
          <w:szCs w:val="18"/>
        </w:rPr>
        <w:t xml:space="preserve">Figure </w:t>
      </w:r>
      <w:r w:rsidRPr="005D60AB">
        <w:rPr>
          <w:noProof/>
          <w:sz w:val="18"/>
          <w:szCs w:val="18"/>
        </w:rPr>
        <w:t>1</w:t>
      </w:r>
      <w:r w:rsidRPr="005D60AB">
        <w:rPr>
          <w:sz w:val="18"/>
          <w:szCs w:val="18"/>
        </w:rPr>
        <w:t xml:space="preserve">: </w:t>
      </w:r>
      <w:r w:rsidRPr="00AB284C">
        <w:rPr>
          <w:sz w:val="18"/>
          <w:szCs w:val="18"/>
        </w:rPr>
        <w:t>Trends in reported cases for substance</w:t>
      </w:r>
      <w:r w:rsidR="00F270D1">
        <w:rPr>
          <w:sz w:val="18"/>
          <w:szCs w:val="18"/>
        </w:rPr>
        <w:t xml:space="preserve"> </w:t>
      </w:r>
      <w:r w:rsidRPr="00AB284C">
        <w:rPr>
          <w:sz w:val="18"/>
          <w:szCs w:val="18"/>
        </w:rPr>
        <w:t xml:space="preserve">use in Co. Dublin between 2017 and 2021 </w:t>
      </w:r>
    </w:p>
    <w:p w14:paraId="278BE27E" w14:textId="77777777" w:rsidR="000215AF" w:rsidRDefault="006B7CF6" w:rsidP="0087116C">
      <w:pPr>
        <w:spacing w:line="360" w:lineRule="auto"/>
        <w:jc w:val="center"/>
      </w:pPr>
      <w:r>
        <w:rPr>
          <w:noProof/>
          <w:lang w:eastAsia="en-IE"/>
        </w:rPr>
        <w:drawing>
          <wp:inline distT="0" distB="0" distL="0" distR="0" wp14:anchorId="03AF8097" wp14:editId="7EE4CE55">
            <wp:extent cx="4559300" cy="2748280"/>
            <wp:effectExtent l="0" t="0" r="0" b="0"/>
            <wp:docPr id="4" name="Chart 4">
              <a:extLst xmlns:a="http://schemas.openxmlformats.org/drawingml/2006/main">
                <a:ext uri="{FF2B5EF4-FFF2-40B4-BE49-F238E27FC236}">
                  <a16:creationId xmlns:a16="http://schemas.microsoft.com/office/drawing/2014/main" id="{91E934EB-377B-5949-A736-CD0F85B26E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C7CCAF9" w14:textId="3812F04F" w:rsidR="001F5F4A" w:rsidRPr="001F5F4A" w:rsidRDefault="001F5F4A" w:rsidP="0087116C">
      <w:pPr>
        <w:spacing w:line="360" w:lineRule="auto"/>
        <w:rPr>
          <w:sz w:val="18"/>
        </w:rPr>
      </w:pPr>
      <w:r>
        <w:rPr>
          <w:sz w:val="18"/>
        </w:rPr>
        <w:t>This reflect</w:t>
      </w:r>
      <w:r w:rsidR="000716AD">
        <w:rPr>
          <w:sz w:val="18"/>
        </w:rPr>
        <w:t>s</w:t>
      </w:r>
      <w:r>
        <w:rPr>
          <w:sz w:val="18"/>
        </w:rPr>
        <w:t xml:space="preserve"> the national trend in rising treatment for problematic cocaine-use. As reported by the Health Research Board in July 2021, cases for cocaine misuse have risen from 853 cases in 2014 to 2,619 in 2020.</w:t>
      </w:r>
      <w:r>
        <w:rPr>
          <w:rStyle w:val="FootnoteReference"/>
          <w:sz w:val="18"/>
        </w:rPr>
        <w:footnoteReference w:id="5"/>
      </w:r>
      <w:r>
        <w:rPr>
          <w:sz w:val="18"/>
        </w:rPr>
        <w:t xml:space="preserve"> Meanwhile, cases for treatment for heroin have declined steeply from 45% in 2017 to 33% in 2021.</w:t>
      </w:r>
    </w:p>
    <w:p w14:paraId="1A838C13" w14:textId="77777777" w:rsidR="008773E3" w:rsidRPr="008773E3" w:rsidRDefault="00786D1A" w:rsidP="0087116C">
      <w:pPr>
        <w:pStyle w:val="Caption"/>
        <w:spacing w:line="360" w:lineRule="auto"/>
        <w:rPr>
          <w:color w:val="000000" w:themeColor="text1"/>
          <w:sz w:val="18"/>
        </w:rPr>
      </w:pPr>
      <w:r w:rsidRPr="008773E3">
        <w:rPr>
          <w:color w:val="000000" w:themeColor="text1"/>
          <w:sz w:val="18"/>
        </w:rPr>
        <w:t xml:space="preserve">This national and Dublin-wide trend is also </w:t>
      </w:r>
      <w:r w:rsidR="004B6442">
        <w:rPr>
          <w:color w:val="000000" w:themeColor="text1"/>
          <w:sz w:val="18"/>
        </w:rPr>
        <w:t xml:space="preserve">seen </w:t>
      </w:r>
      <w:r w:rsidRPr="008773E3">
        <w:rPr>
          <w:color w:val="000000" w:themeColor="text1"/>
          <w:sz w:val="18"/>
        </w:rPr>
        <w:t>in data for the Tallaght region</w:t>
      </w:r>
      <w:r w:rsidR="004B6442">
        <w:rPr>
          <w:color w:val="000000" w:themeColor="text1"/>
          <w:sz w:val="18"/>
        </w:rPr>
        <w:t xml:space="preserve">. </w:t>
      </w:r>
      <w:r w:rsidRPr="008773E3">
        <w:rPr>
          <w:color w:val="000000" w:themeColor="text1"/>
          <w:sz w:val="18"/>
        </w:rPr>
        <w:t>In Tallaght</w:t>
      </w:r>
      <w:r w:rsidR="00602838">
        <w:rPr>
          <w:color w:val="000000" w:themeColor="text1"/>
          <w:sz w:val="18"/>
        </w:rPr>
        <w:t xml:space="preserve"> (see Figure 2 below)</w:t>
      </w:r>
      <w:r w:rsidRPr="008773E3">
        <w:rPr>
          <w:color w:val="000000" w:themeColor="text1"/>
          <w:sz w:val="18"/>
        </w:rPr>
        <w:t>, cases for the treatment of problematic cocaine use have risen markedly compared to those for heroin misuse.</w:t>
      </w:r>
      <w:r w:rsidR="00CA1CF9" w:rsidRPr="008773E3">
        <w:rPr>
          <w:color w:val="000000" w:themeColor="text1"/>
          <w:sz w:val="18"/>
        </w:rPr>
        <w:t xml:space="preserve"> While cocaine treatments have risen by 9% points since 2021, heroin has declined by 8% points, with cases for cocaine misuse surpassing those for heroin in 2021. </w:t>
      </w:r>
    </w:p>
    <w:p w14:paraId="43A171AB" w14:textId="77777777" w:rsidR="00E93C00" w:rsidRPr="008773E3" w:rsidRDefault="006E3597" w:rsidP="0087116C">
      <w:pPr>
        <w:pStyle w:val="Caption"/>
        <w:spacing w:line="360" w:lineRule="auto"/>
        <w:rPr>
          <w:sz w:val="18"/>
        </w:rPr>
      </w:pPr>
      <w:r w:rsidRPr="008773E3">
        <w:rPr>
          <w:sz w:val="18"/>
        </w:rPr>
        <w:t>Fi</w:t>
      </w:r>
      <w:r w:rsidR="006B7CF6" w:rsidRPr="008773E3">
        <w:rPr>
          <w:sz w:val="18"/>
        </w:rPr>
        <w:t>g</w:t>
      </w:r>
      <w:r w:rsidRPr="008773E3">
        <w:rPr>
          <w:sz w:val="18"/>
        </w:rPr>
        <w:t xml:space="preserve">ure </w:t>
      </w:r>
      <w:r w:rsidR="00CD2003">
        <w:rPr>
          <w:noProof/>
          <w:sz w:val="18"/>
        </w:rPr>
        <w:t>2</w:t>
      </w:r>
      <w:r w:rsidRPr="008773E3">
        <w:rPr>
          <w:sz w:val="18"/>
        </w:rPr>
        <w:t xml:space="preserve">: </w:t>
      </w:r>
      <w:r w:rsidR="006B7CF6" w:rsidRPr="008773E3">
        <w:rPr>
          <w:sz w:val="18"/>
        </w:rPr>
        <w:t>Trends in reported treat</w:t>
      </w:r>
      <w:r w:rsidR="004C638E">
        <w:rPr>
          <w:sz w:val="18"/>
        </w:rPr>
        <w:t xml:space="preserve">ments </w:t>
      </w:r>
      <w:r w:rsidR="006B7CF6" w:rsidRPr="008773E3">
        <w:rPr>
          <w:sz w:val="18"/>
        </w:rPr>
        <w:t>for heroin and cocaine use in Tallaght between 2017 and 2021</w:t>
      </w:r>
    </w:p>
    <w:p w14:paraId="239292E0" w14:textId="77777777" w:rsidR="000716AD" w:rsidRDefault="006B7CF6" w:rsidP="0087116C">
      <w:pPr>
        <w:spacing w:line="360" w:lineRule="auto"/>
        <w:jc w:val="center"/>
        <w:rPr>
          <w:sz w:val="18"/>
        </w:rPr>
      </w:pPr>
      <w:r w:rsidRPr="005D60AB">
        <w:rPr>
          <w:caps/>
          <w:noProof/>
          <w:lang w:eastAsia="en-IE"/>
        </w:rPr>
        <w:drawing>
          <wp:inline distT="0" distB="0" distL="0" distR="0" wp14:anchorId="2ACC9CE6" wp14:editId="06ABED83">
            <wp:extent cx="3918857" cy="1952171"/>
            <wp:effectExtent l="0" t="0" r="5715" b="3810"/>
            <wp:docPr id="2" name="Chart 2">
              <a:extLst xmlns:a="http://schemas.openxmlformats.org/drawingml/2006/main">
                <a:ext uri="{FF2B5EF4-FFF2-40B4-BE49-F238E27FC236}">
                  <a16:creationId xmlns:a16="http://schemas.microsoft.com/office/drawing/2014/main" id="{F994BD06-48CD-0240-A45F-FCC702FC66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B7D3CA" w14:textId="37202FE2" w:rsidR="00FD3F6D" w:rsidRPr="008773E3" w:rsidRDefault="00FD3F6D" w:rsidP="0087116C">
      <w:pPr>
        <w:spacing w:line="360" w:lineRule="auto"/>
        <w:jc w:val="both"/>
        <w:rPr>
          <w:sz w:val="18"/>
        </w:rPr>
      </w:pPr>
      <w:r>
        <w:rPr>
          <w:sz w:val="18"/>
        </w:rPr>
        <w:t xml:space="preserve">These trends are also </w:t>
      </w:r>
      <w:r w:rsidR="00D04870" w:rsidRPr="008773E3">
        <w:rPr>
          <w:sz w:val="18"/>
        </w:rPr>
        <w:t xml:space="preserve">reported </w:t>
      </w:r>
      <w:r>
        <w:rPr>
          <w:sz w:val="18"/>
        </w:rPr>
        <w:t xml:space="preserve">at the local </w:t>
      </w:r>
      <w:r w:rsidR="00D04870" w:rsidRPr="008773E3">
        <w:rPr>
          <w:sz w:val="18"/>
        </w:rPr>
        <w:t>by JADD staff,</w:t>
      </w:r>
      <w:r>
        <w:rPr>
          <w:sz w:val="18"/>
        </w:rPr>
        <w:t xml:space="preserve"> who have observed that</w:t>
      </w:r>
      <w:r w:rsidR="00D04870" w:rsidRPr="008773E3">
        <w:rPr>
          <w:sz w:val="18"/>
        </w:rPr>
        <w:t xml:space="preserve"> within th</w:t>
      </w:r>
      <w:r>
        <w:rPr>
          <w:sz w:val="18"/>
        </w:rPr>
        <w:t>e</w:t>
      </w:r>
      <w:r w:rsidR="00D04870" w:rsidRPr="008773E3">
        <w:rPr>
          <w:sz w:val="18"/>
        </w:rPr>
        <w:t xml:space="preserve"> increase of treatment for cocaine, there is an increasing prevalence of crack-cocaine use. </w:t>
      </w:r>
      <w:r>
        <w:rPr>
          <w:sz w:val="18"/>
        </w:rPr>
        <w:t>This pattern is also highlighted nationally -</w:t>
      </w:r>
      <w:r w:rsidR="00D04870" w:rsidRPr="008773E3">
        <w:rPr>
          <w:sz w:val="18"/>
        </w:rPr>
        <w:t xml:space="preserve"> in 2014</w:t>
      </w:r>
      <w:r>
        <w:rPr>
          <w:sz w:val="18"/>
        </w:rPr>
        <w:t>,</w:t>
      </w:r>
      <w:r w:rsidR="00D04870" w:rsidRPr="008773E3">
        <w:rPr>
          <w:sz w:val="18"/>
        </w:rPr>
        <w:t xml:space="preserve"> 84 cases of crack-cocaine treatment were recorded by the NDTRS, in 2020 the total number of treatments for crack-cocaine had risen to 414</w:t>
      </w:r>
      <w:r w:rsidR="00D04870" w:rsidRPr="008773E3">
        <w:rPr>
          <w:rStyle w:val="FootnoteReference"/>
          <w:sz w:val="18"/>
        </w:rPr>
        <w:footnoteReference w:id="6"/>
      </w:r>
      <w:r>
        <w:rPr>
          <w:sz w:val="18"/>
        </w:rPr>
        <w:t>.</w:t>
      </w:r>
    </w:p>
    <w:p w14:paraId="6EC9E6A3" w14:textId="77777777" w:rsidR="00B1099B" w:rsidRPr="00B1099B" w:rsidRDefault="00AC6E39" w:rsidP="0087116C">
      <w:pPr>
        <w:pStyle w:val="Heading2"/>
      </w:pPr>
      <w:bookmarkStart w:id="33" w:name="_Toc117669695"/>
      <w:bookmarkStart w:id="34" w:name="_Toc124260275"/>
      <w:r>
        <w:t>The National Drug Strategy</w:t>
      </w:r>
      <w:r w:rsidR="00781FE4">
        <w:t xml:space="preserve">, </w:t>
      </w:r>
      <w:r w:rsidR="00C56133">
        <w:t>2017-2025</w:t>
      </w:r>
      <w:bookmarkEnd w:id="33"/>
      <w:bookmarkEnd w:id="34"/>
    </w:p>
    <w:p w14:paraId="52A1DEA5" w14:textId="02577EC0" w:rsidR="006F56A2" w:rsidRDefault="000E6C0F" w:rsidP="0087116C">
      <w:pPr>
        <w:spacing w:line="360" w:lineRule="auto"/>
        <w:rPr>
          <w:sz w:val="18"/>
        </w:rPr>
      </w:pPr>
      <w:r>
        <w:rPr>
          <w:sz w:val="18"/>
        </w:rPr>
        <w:t xml:space="preserve">The national drug strategy </w:t>
      </w:r>
      <w:r>
        <w:rPr>
          <w:i/>
          <w:sz w:val="18"/>
        </w:rPr>
        <w:t xml:space="preserve">Reducing Harm, Supporting Recovery: A </w:t>
      </w:r>
      <w:r w:rsidR="00F270D1">
        <w:rPr>
          <w:i/>
          <w:sz w:val="18"/>
        </w:rPr>
        <w:t>H</w:t>
      </w:r>
      <w:r>
        <w:rPr>
          <w:i/>
          <w:sz w:val="18"/>
        </w:rPr>
        <w:t xml:space="preserve">ealth-led </w:t>
      </w:r>
      <w:r w:rsidR="00F270D1">
        <w:rPr>
          <w:i/>
          <w:sz w:val="18"/>
        </w:rPr>
        <w:t>R</w:t>
      </w:r>
      <w:r>
        <w:rPr>
          <w:i/>
          <w:sz w:val="18"/>
        </w:rPr>
        <w:t xml:space="preserve">esponse to </w:t>
      </w:r>
      <w:r w:rsidR="00F270D1">
        <w:rPr>
          <w:i/>
          <w:sz w:val="18"/>
        </w:rPr>
        <w:t>D</w:t>
      </w:r>
      <w:r>
        <w:rPr>
          <w:i/>
          <w:sz w:val="18"/>
        </w:rPr>
        <w:t xml:space="preserve">rug and </w:t>
      </w:r>
      <w:r w:rsidR="00F270D1">
        <w:rPr>
          <w:i/>
          <w:sz w:val="18"/>
        </w:rPr>
        <w:t>A</w:t>
      </w:r>
      <w:r>
        <w:rPr>
          <w:i/>
          <w:sz w:val="18"/>
        </w:rPr>
        <w:t>lcohol-use in Ireland 2017-202</w:t>
      </w:r>
      <w:r w:rsidR="00F270D1">
        <w:rPr>
          <w:i/>
          <w:sz w:val="18"/>
        </w:rPr>
        <w:t>5</w:t>
      </w:r>
      <w:r w:rsidR="00547C73">
        <w:rPr>
          <w:i/>
          <w:sz w:val="18"/>
        </w:rPr>
        <w:t xml:space="preserve">, </w:t>
      </w:r>
      <w:r w:rsidR="00547C73" w:rsidRPr="00F867D4">
        <w:rPr>
          <w:sz w:val="18"/>
        </w:rPr>
        <w:t>governs the policy and resourcing of national drugs services</w:t>
      </w:r>
      <w:r>
        <w:rPr>
          <w:i/>
          <w:sz w:val="18"/>
        </w:rPr>
        <w:t>.</w:t>
      </w:r>
      <w:r>
        <w:rPr>
          <w:sz w:val="18"/>
        </w:rPr>
        <w:t xml:space="preserve"> This </w:t>
      </w:r>
      <w:r w:rsidR="000716AD">
        <w:rPr>
          <w:sz w:val="18"/>
        </w:rPr>
        <w:t xml:space="preserve">strategy </w:t>
      </w:r>
      <w:r>
        <w:rPr>
          <w:sz w:val="18"/>
        </w:rPr>
        <w:t>emphasise</w:t>
      </w:r>
      <w:r w:rsidR="00FD3F6D">
        <w:rPr>
          <w:sz w:val="18"/>
        </w:rPr>
        <w:t>s</w:t>
      </w:r>
      <w:r>
        <w:rPr>
          <w:sz w:val="18"/>
        </w:rPr>
        <w:t xml:space="preserve"> a move away from a criminal justice approach </w:t>
      </w:r>
      <w:r w:rsidR="00547C73">
        <w:rPr>
          <w:sz w:val="18"/>
        </w:rPr>
        <w:t xml:space="preserve">in favour of a </w:t>
      </w:r>
      <w:r>
        <w:rPr>
          <w:sz w:val="18"/>
        </w:rPr>
        <w:t xml:space="preserve">shift towards a health-led approach that emphasises well-being. </w:t>
      </w:r>
      <w:r w:rsidR="00547C73">
        <w:rPr>
          <w:sz w:val="18"/>
        </w:rPr>
        <w:t>The table below highlights the key objectives and actions of the strategy.</w:t>
      </w:r>
    </w:p>
    <w:p w14:paraId="26E73B48" w14:textId="77777777" w:rsidR="00892A68" w:rsidRPr="005D60AB" w:rsidRDefault="00355548" w:rsidP="0087116C">
      <w:pPr>
        <w:pStyle w:val="Caption"/>
        <w:spacing w:line="360" w:lineRule="auto"/>
        <w:rPr>
          <w:sz w:val="18"/>
          <w:szCs w:val="18"/>
        </w:rPr>
      </w:pPr>
      <w:r w:rsidRPr="005D60AB">
        <w:rPr>
          <w:sz w:val="18"/>
          <w:szCs w:val="18"/>
        </w:rPr>
        <w:t xml:space="preserve">Figure </w:t>
      </w:r>
      <w:r w:rsidR="00CD2003" w:rsidRPr="005D60AB">
        <w:rPr>
          <w:noProof/>
          <w:sz w:val="18"/>
          <w:szCs w:val="18"/>
        </w:rPr>
        <w:t>3</w:t>
      </w:r>
      <w:r w:rsidRPr="005D60AB">
        <w:rPr>
          <w:sz w:val="18"/>
          <w:szCs w:val="18"/>
        </w:rPr>
        <w:t xml:space="preserve"> Objectives and </w:t>
      </w:r>
      <w:r w:rsidR="00547C73">
        <w:rPr>
          <w:sz w:val="18"/>
          <w:szCs w:val="18"/>
        </w:rPr>
        <w:t>a</w:t>
      </w:r>
      <w:r w:rsidRPr="005D60AB">
        <w:rPr>
          <w:sz w:val="18"/>
          <w:szCs w:val="18"/>
        </w:rPr>
        <w:t>ction</w:t>
      </w:r>
      <w:r w:rsidR="00547C73">
        <w:rPr>
          <w:sz w:val="18"/>
          <w:szCs w:val="18"/>
        </w:rPr>
        <w:t>s</w:t>
      </w:r>
      <w:r w:rsidRPr="005D60AB">
        <w:rPr>
          <w:sz w:val="18"/>
          <w:szCs w:val="18"/>
        </w:rPr>
        <w:t xml:space="preserve"> of </w:t>
      </w:r>
      <w:r w:rsidR="00C23DFC">
        <w:rPr>
          <w:sz w:val="18"/>
          <w:szCs w:val="18"/>
        </w:rPr>
        <w:t>the strategy</w:t>
      </w:r>
    </w:p>
    <w:tbl>
      <w:tblPr>
        <w:tblStyle w:val="TableGrid"/>
        <w:tblW w:w="0" w:type="auto"/>
        <w:tblLook w:val="04A0" w:firstRow="1" w:lastRow="0" w:firstColumn="1" w:lastColumn="0" w:noHBand="0" w:noVBand="1"/>
      </w:tblPr>
      <w:tblGrid>
        <w:gridCol w:w="2972"/>
        <w:gridCol w:w="6044"/>
      </w:tblGrid>
      <w:tr w:rsidR="00355548" w14:paraId="7FA3E08F" w14:textId="77777777" w:rsidTr="005D60AB">
        <w:tc>
          <w:tcPr>
            <w:tcW w:w="2972" w:type="dxa"/>
          </w:tcPr>
          <w:p w14:paraId="0FD9FCBF" w14:textId="77777777" w:rsidR="00355548" w:rsidRPr="005D60AB" w:rsidRDefault="00355548" w:rsidP="0087116C">
            <w:pPr>
              <w:spacing w:line="360" w:lineRule="auto"/>
              <w:rPr>
                <w:b/>
                <w:sz w:val="18"/>
              </w:rPr>
            </w:pPr>
            <w:r w:rsidRPr="005D60AB">
              <w:rPr>
                <w:b/>
                <w:sz w:val="18"/>
              </w:rPr>
              <w:t xml:space="preserve">Objective </w:t>
            </w:r>
          </w:p>
        </w:tc>
        <w:tc>
          <w:tcPr>
            <w:tcW w:w="6044" w:type="dxa"/>
          </w:tcPr>
          <w:p w14:paraId="38C1D8B8" w14:textId="77777777" w:rsidR="00355548" w:rsidRPr="005D60AB" w:rsidRDefault="00355548" w:rsidP="0087116C">
            <w:pPr>
              <w:spacing w:line="360" w:lineRule="auto"/>
              <w:rPr>
                <w:b/>
                <w:sz w:val="18"/>
              </w:rPr>
            </w:pPr>
            <w:r w:rsidRPr="005D60AB">
              <w:rPr>
                <w:b/>
                <w:sz w:val="18"/>
              </w:rPr>
              <w:t xml:space="preserve">Action </w:t>
            </w:r>
          </w:p>
        </w:tc>
      </w:tr>
      <w:tr w:rsidR="00355548" w14:paraId="374D1F5E" w14:textId="77777777" w:rsidTr="005D60AB">
        <w:trPr>
          <w:trHeight w:val="132"/>
        </w:trPr>
        <w:tc>
          <w:tcPr>
            <w:tcW w:w="2972" w:type="dxa"/>
          </w:tcPr>
          <w:p w14:paraId="4CEAC65C" w14:textId="77777777" w:rsidR="00355548" w:rsidRPr="000941A9" w:rsidRDefault="00355548" w:rsidP="0087116C">
            <w:pPr>
              <w:spacing w:line="360" w:lineRule="auto"/>
              <w:rPr>
                <w:sz w:val="18"/>
              </w:rPr>
            </w:pPr>
            <w:r w:rsidRPr="000941A9">
              <w:rPr>
                <w:sz w:val="18"/>
              </w:rPr>
              <w:t>To promote health and well-being</w:t>
            </w:r>
          </w:p>
          <w:p w14:paraId="65C88D5D" w14:textId="77777777" w:rsidR="00355548" w:rsidRPr="005D60AB" w:rsidRDefault="00355548" w:rsidP="0087116C">
            <w:pPr>
              <w:spacing w:line="360" w:lineRule="auto"/>
              <w:rPr>
                <w:sz w:val="18"/>
              </w:rPr>
            </w:pPr>
          </w:p>
        </w:tc>
        <w:tc>
          <w:tcPr>
            <w:tcW w:w="6044" w:type="dxa"/>
          </w:tcPr>
          <w:p w14:paraId="59D7DD0F" w14:textId="365B106D" w:rsidR="00A16851" w:rsidRPr="005D60AB" w:rsidRDefault="00355548" w:rsidP="0087116C">
            <w:pPr>
              <w:spacing w:line="360" w:lineRule="auto"/>
              <w:rPr>
                <w:sz w:val="18"/>
              </w:rPr>
            </w:pPr>
            <w:r w:rsidRPr="005D60AB">
              <w:rPr>
                <w:sz w:val="18"/>
              </w:rPr>
              <w:t>Promot</w:t>
            </w:r>
            <w:r w:rsidR="005A0133" w:rsidRPr="005D60AB">
              <w:rPr>
                <w:sz w:val="18"/>
              </w:rPr>
              <w:t>e</w:t>
            </w:r>
            <w:r w:rsidRPr="005D60AB">
              <w:rPr>
                <w:sz w:val="18"/>
              </w:rPr>
              <w:t xml:space="preserve"> healthier lifestyles</w:t>
            </w:r>
            <w:r w:rsidR="005A0133" w:rsidRPr="005D60AB">
              <w:rPr>
                <w:sz w:val="18"/>
              </w:rPr>
              <w:t xml:space="preserve"> and p</w:t>
            </w:r>
            <w:r w:rsidRPr="005D60AB">
              <w:rPr>
                <w:sz w:val="18"/>
              </w:rPr>
              <w:t>revent the use of drugs and alcohol by young people</w:t>
            </w:r>
            <w:r w:rsidR="00A16851">
              <w:rPr>
                <w:sz w:val="18"/>
              </w:rPr>
              <w:t>.</w:t>
            </w:r>
          </w:p>
          <w:p w14:paraId="1D3C8F2B" w14:textId="77777777" w:rsidR="00355548" w:rsidRPr="005D60AB" w:rsidRDefault="005A0133" w:rsidP="0087116C">
            <w:pPr>
              <w:spacing w:line="360" w:lineRule="auto"/>
              <w:rPr>
                <w:sz w:val="18"/>
              </w:rPr>
            </w:pPr>
            <w:r w:rsidRPr="000941A9">
              <w:rPr>
                <w:sz w:val="18"/>
              </w:rPr>
              <w:t>D</w:t>
            </w:r>
            <w:r w:rsidR="00355548" w:rsidRPr="000941A9">
              <w:rPr>
                <w:sz w:val="18"/>
              </w:rPr>
              <w:t xml:space="preserve">evelop harm-reduction interventions targeting at risk groups </w:t>
            </w:r>
          </w:p>
        </w:tc>
      </w:tr>
      <w:tr w:rsidR="00355548" w14:paraId="3588A4FA" w14:textId="77777777" w:rsidTr="005D60AB">
        <w:trPr>
          <w:trHeight w:val="721"/>
        </w:trPr>
        <w:tc>
          <w:tcPr>
            <w:tcW w:w="2972" w:type="dxa"/>
          </w:tcPr>
          <w:p w14:paraId="24B91C36" w14:textId="77777777" w:rsidR="00355548" w:rsidRPr="005D60AB" w:rsidRDefault="00355548" w:rsidP="0087116C">
            <w:pPr>
              <w:spacing w:line="360" w:lineRule="auto"/>
              <w:rPr>
                <w:sz w:val="18"/>
              </w:rPr>
            </w:pPr>
            <w:r w:rsidRPr="000941A9">
              <w:rPr>
                <w:sz w:val="18"/>
              </w:rPr>
              <w:t>To minimise harms caused by use and misuse of substances and promote rehabilitation and community</w:t>
            </w:r>
          </w:p>
        </w:tc>
        <w:tc>
          <w:tcPr>
            <w:tcW w:w="6044" w:type="dxa"/>
          </w:tcPr>
          <w:p w14:paraId="6C7C0CE5" w14:textId="77777777" w:rsidR="00355548" w:rsidRPr="000941A9" w:rsidRDefault="00355548" w:rsidP="0087116C">
            <w:pPr>
              <w:spacing w:line="360" w:lineRule="auto"/>
              <w:rPr>
                <w:sz w:val="18"/>
              </w:rPr>
            </w:pPr>
            <w:r w:rsidRPr="000941A9">
              <w:rPr>
                <w:sz w:val="18"/>
              </w:rPr>
              <w:t xml:space="preserve">Attain better health and social outcomes for people who experience harm from substance misuse and meet their recovery and rehabilitation needs </w:t>
            </w:r>
          </w:p>
          <w:p w14:paraId="6E079FC1" w14:textId="77777777" w:rsidR="00355548" w:rsidRPr="005D60AB" w:rsidRDefault="00355548" w:rsidP="0087116C">
            <w:pPr>
              <w:spacing w:line="360" w:lineRule="auto"/>
              <w:rPr>
                <w:sz w:val="18"/>
              </w:rPr>
            </w:pPr>
          </w:p>
        </w:tc>
      </w:tr>
      <w:tr w:rsidR="00355548" w14:paraId="04E9A4D3" w14:textId="77777777" w:rsidTr="005D60AB">
        <w:tc>
          <w:tcPr>
            <w:tcW w:w="2972" w:type="dxa"/>
          </w:tcPr>
          <w:p w14:paraId="562DDA05" w14:textId="77777777" w:rsidR="00355548" w:rsidRPr="000941A9" w:rsidRDefault="00355548" w:rsidP="0087116C">
            <w:pPr>
              <w:spacing w:line="360" w:lineRule="auto"/>
              <w:rPr>
                <w:sz w:val="18"/>
              </w:rPr>
            </w:pPr>
            <w:r w:rsidRPr="000941A9">
              <w:rPr>
                <w:sz w:val="18"/>
              </w:rPr>
              <w:t xml:space="preserve">To address the harms of drug markets and reduce access to drugs for harmful use </w:t>
            </w:r>
          </w:p>
          <w:p w14:paraId="3811CB6E" w14:textId="77777777" w:rsidR="00355548" w:rsidRPr="005D60AB" w:rsidRDefault="00355548" w:rsidP="0087116C">
            <w:pPr>
              <w:spacing w:line="360" w:lineRule="auto"/>
              <w:rPr>
                <w:sz w:val="18"/>
              </w:rPr>
            </w:pPr>
          </w:p>
        </w:tc>
        <w:tc>
          <w:tcPr>
            <w:tcW w:w="6044" w:type="dxa"/>
          </w:tcPr>
          <w:p w14:paraId="1DB61E18" w14:textId="77777777" w:rsidR="00355548" w:rsidRPr="000941A9" w:rsidRDefault="00355548" w:rsidP="0087116C">
            <w:pPr>
              <w:spacing w:line="360" w:lineRule="auto"/>
              <w:rPr>
                <w:sz w:val="18"/>
              </w:rPr>
            </w:pPr>
            <w:r w:rsidRPr="000941A9">
              <w:rPr>
                <w:sz w:val="18"/>
              </w:rPr>
              <w:t>Provide a comprehensive and responsive misuse of drugs control framework which ensures proper control, management, and regulation of the supply of drugs</w:t>
            </w:r>
          </w:p>
          <w:p w14:paraId="6EAD3E1B" w14:textId="77777777" w:rsidR="00355548" w:rsidRPr="000941A9" w:rsidRDefault="00355548" w:rsidP="0087116C">
            <w:pPr>
              <w:spacing w:line="360" w:lineRule="auto"/>
              <w:rPr>
                <w:sz w:val="18"/>
              </w:rPr>
            </w:pPr>
            <w:r w:rsidRPr="000941A9">
              <w:rPr>
                <w:sz w:val="18"/>
              </w:rPr>
              <w:t xml:space="preserve">Implement effective law enforcement and supply reduction strategies and actions to prevent, disrupt, or otherwise reduce the availability of illicit drugs </w:t>
            </w:r>
          </w:p>
          <w:p w14:paraId="07348547" w14:textId="77777777" w:rsidR="00355548" w:rsidRPr="000941A9" w:rsidRDefault="00355548" w:rsidP="0087116C">
            <w:pPr>
              <w:spacing w:line="360" w:lineRule="auto"/>
              <w:rPr>
                <w:sz w:val="18"/>
              </w:rPr>
            </w:pPr>
            <w:r w:rsidRPr="000941A9">
              <w:rPr>
                <w:sz w:val="18"/>
              </w:rPr>
              <w:t xml:space="preserve">Develop effective monitoring for, and response to, evolving trends, public health threats, and the emergence of new drug markets </w:t>
            </w:r>
          </w:p>
        </w:tc>
      </w:tr>
      <w:tr w:rsidR="00355548" w14:paraId="4F5C039F" w14:textId="77777777" w:rsidTr="005D60AB">
        <w:tc>
          <w:tcPr>
            <w:tcW w:w="2972" w:type="dxa"/>
          </w:tcPr>
          <w:p w14:paraId="1264F6B1" w14:textId="77777777" w:rsidR="00355548" w:rsidRPr="005D60AB" w:rsidRDefault="00355548" w:rsidP="0087116C">
            <w:pPr>
              <w:spacing w:line="360" w:lineRule="auto"/>
              <w:rPr>
                <w:sz w:val="18"/>
              </w:rPr>
            </w:pPr>
            <w:r w:rsidRPr="000941A9">
              <w:rPr>
                <w:sz w:val="18"/>
              </w:rPr>
              <w:t xml:space="preserve">To support participation of individuals, families, and communities </w:t>
            </w:r>
          </w:p>
        </w:tc>
        <w:tc>
          <w:tcPr>
            <w:tcW w:w="6044" w:type="dxa"/>
          </w:tcPr>
          <w:p w14:paraId="46589514" w14:textId="77777777" w:rsidR="00355548" w:rsidRPr="005D60AB" w:rsidRDefault="00355548" w:rsidP="0087116C">
            <w:pPr>
              <w:spacing w:line="360" w:lineRule="auto"/>
              <w:rPr>
                <w:sz w:val="18"/>
              </w:rPr>
            </w:pPr>
            <w:r w:rsidRPr="000941A9">
              <w:rPr>
                <w:sz w:val="18"/>
              </w:rPr>
              <w:t>Strengthen the resilience of communities and build capacity to respond</w:t>
            </w:r>
            <w:r w:rsidR="000716AD" w:rsidRPr="000941A9">
              <w:rPr>
                <w:sz w:val="18"/>
              </w:rPr>
              <w:t>, and e</w:t>
            </w:r>
            <w:r w:rsidRPr="000941A9">
              <w:rPr>
                <w:sz w:val="18"/>
              </w:rPr>
              <w:t xml:space="preserve">nable participation of both services and their families </w:t>
            </w:r>
          </w:p>
        </w:tc>
      </w:tr>
      <w:tr w:rsidR="00355548" w14:paraId="0EB7339B" w14:textId="77777777" w:rsidTr="005D60AB">
        <w:tc>
          <w:tcPr>
            <w:tcW w:w="2972" w:type="dxa"/>
          </w:tcPr>
          <w:p w14:paraId="1803BF0F" w14:textId="77777777" w:rsidR="00355548" w:rsidRPr="000941A9" w:rsidRDefault="00355548" w:rsidP="0087116C">
            <w:pPr>
              <w:spacing w:line="360" w:lineRule="auto"/>
              <w:rPr>
                <w:sz w:val="18"/>
              </w:rPr>
            </w:pPr>
            <w:r w:rsidRPr="000941A9">
              <w:rPr>
                <w:sz w:val="18"/>
              </w:rPr>
              <w:t xml:space="preserve">To develop sound and comprehensive evidence-informed policies and actions </w:t>
            </w:r>
          </w:p>
        </w:tc>
        <w:tc>
          <w:tcPr>
            <w:tcW w:w="6044" w:type="dxa"/>
          </w:tcPr>
          <w:p w14:paraId="62C5632F" w14:textId="77777777" w:rsidR="00355548" w:rsidRPr="000941A9" w:rsidRDefault="00355548" w:rsidP="0087116C">
            <w:pPr>
              <w:spacing w:line="360" w:lineRule="auto"/>
              <w:rPr>
                <w:sz w:val="18"/>
              </w:rPr>
            </w:pPr>
            <w:r w:rsidRPr="000941A9">
              <w:rPr>
                <w:sz w:val="18"/>
              </w:rPr>
              <w:t xml:space="preserve">Support high-quality monitoring, evaluation, and research to ensure evidence-informed policies and practices </w:t>
            </w:r>
          </w:p>
          <w:p w14:paraId="497AFFE1" w14:textId="77777777" w:rsidR="00355548" w:rsidRPr="005D60AB" w:rsidRDefault="00355548" w:rsidP="0087116C">
            <w:pPr>
              <w:spacing w:line="360" w:lineRule="auto"/>
              <w:rPr>
                <w:sz w:val="18"/>
              </w:rPr>
            </w:pPr>
          </w:p>
        </w:tc>
      </w:tr>
    </w:tbl>
    <w:p w14:paraId="2543851F" w14:textId="77777777" w:rsidR="002C7B6F" w:rsidRDefault="002C7B6F" w:rsidP="0087116C">
      <w:pPr>
        <w:pStyle w:val="Caption"/>
        <w:spacing w:line="360" w:lineRule="auto"/>
      </w:pPr>
    </w:p>
    <w:p w14:paraId="2A56B880" w14:textId="77777777" w:rsidR="00B1099B" w:rsidRPr="00B1099B" w:rsidRDefault="00C56133" w:rsidP="0087116C">
      <w:pPr>
        <w:pStyle w:val="Heading2"/>
      </w:pPr>
      <w:bookmarkStart w:id="35" w:name="_Toc117669486"/>
      <w:bookmarkStart w:id="36" w:name="_Toc117669629"/>
      <w:bookmarkStart w:id="37" w:name="_Toc117669514"/>
      <w:bookmarkStart w:id="38" w:name="_Toc117669657"/>
      <w:bookmarkStart w:id="39" w:name="_Toc117669696"/>
      <w:bookmarkStart w:id="40" w:name="_Toc124260276"/>
      <w:bookmarkEnd w:id="35"/>
      <w:bookmarkEnd w:id="36"/>
      <w:bookmarkEnd w:id="37"/>
      <w:bookmarkEnd w:id="38"/>
      <w:r>
        <w:t xml:space="preserve">The Tallaght Drug </w:t>
      </w:r>
      <w:r w:rsidR="00300345">
        <w:t xml:space="preserve">and Alcohol </w:t>
      </w:r>
      <w:r>
        <w:t>Task Force</w:t>
      </w:r>
      <w:bookmarkEnd w:id="39"/>
      <w:bookmarkEnd w:id="40"/>
      <w:r>
        <w:t xml:space="preserve"> </w:t>
      </w:r>
    </w:p>
    <w:p w14:paraId="5BF0CFDA" w14:textId="10AF32F0" w:rsidR="000274A4" w:rsidRDefault="008C3BAB" w:rsidP="0087116C">
      <w:pPr>
        <w:spacing w:line="360" w:lineRule="auto"/>
        <w:rPr>
          <w:sz w:val="18"/>
        </w:rPr>
      </w:pPr>
      <w:r w:rsidRPr="00B15250">
        <w:rPr>
          <w:sz w:val="18"/>
        </w:rPr>
        <w:t>T</w:t>
      </w:r>
      <w:r>
        <w:rPr>
          <w:sz w:val="18"/>
        </w:rPr>
        <w:t xml:space="preserve">allaght </w:t>
      </w:r>
      <w:r w:rsidRPr="00B15250">
        <w:rPr>
          <w:sz w:val="18"/>
        </w:rPr>
        <w:t>D</w:t>
      </w:r>
      <w:r>
        <w:rPr>
          <w:sz w:val="18"/>
        </w:rPr>
        <w:t xml:space="preserve">rug and Alcohol </w:t>
      </w:r>
      <w:r w:rsidRPr="00B15250">
        <w:rPr>
          <w:sz w:val="18"/>
        </w:rPr>
        <w:t>T</w:t>
      </w:r>
      <w:r>
        <w:rPr>
          <w:sz w:val="18"/>
        </w:rPr>
        <w:t xml:space="preserve">ask </w:t>
      </w:r>
      <w:r w:rsidRPr="00B15250">
        <w:rPr>
          <w:sz w:val="18"/>
        </w:rPr>
        <w:t>F</w:t>
      </w:r>
      <w:r>
        <w:rPr>
          <w:sz w:val="18"/>
        </w:rPr>
        <w:t xml:space="preserve">orce (TDATF) </w:t>
      </w:r>
      <w:r w:rsidR="000274A4">
        <w:rPr>
          <w:sz w:val="18"/>
        </w:rPr>
        <w:t xml:space="preserve">has important roles in </w:t>
      </w:r>
      <w:r w:rsidR="000941A9">
        <w:rPr>
          <w:sz w:val="18"/>
        </w:rPr>
        <w:t xml:space="preserve">supporting interagency work and local co-ordination in relation to </w:t>
      </w:r>
      <w:r w:rsidR="000274A4">
        <w:rPr>
          <w:sz w:val="18"/>
        </w:rPr>
        <w:t xml:space="preserve">health, well-being, child-protection, youth development, and overall community cohesion and safety. Despite the contributions made by the TDATF and its project partners such as JADD, </w:t>
      </w:r>
      <w:r w:rsidR="000941A9">
        <w:rPr>
          <w:sz w:val="18"/>
        </w:rPr>
        <w:t>issues in relation to drug use remain a key local challenge. R</w:t>
      </w:r>
      <w:r w:rsidR="000274A4">
        <w:rPr>
          <w:sz w:val="18"/>
        </w:rPr>
        <w:t xml:space="preserve">ecent surveys of people in the area </w:t>
      </w:r>
      <w:r w:rsidR="004F4500">
        <w:rPr>
          <w:sz w:val="18"/>
        </w:rPr>
        <w:t>revealed</w:t>
      </w:r>
      <w:r w:rsidR="000274A4">
        <w:rPr>
          <w:sz w:val="18"/>
        </w:rPr>
        <w:t xml:space="preserve"> </w:t>
      </w:r>
      <w:r w:rsidR="004F4500">
        <w:rPr>
          <w:sz w:val="18"/>
        </w:rPr>
        <w:t xml:space="preserve">a perception </w:t>
      </w:r>
      <w:r w:rsidR="000274A4">
        <w:rPr>
          <w:sz w:val="18"/>
        </w:rPr>
        <w:t>that problem</w:t>
      </w:r>
      <w:r w:rsidR="004F4500">
        <w:rPr>
          <w:sz w:val="18"/>
        </w:rPr>
        <w:t>s</w:t>
      </w:r>
      <w:r w:rsidR="000274A4">
        <w:rPr>
          <w:sz w:val="18"/>
        </w:rPr>
        <w:t xml:space="preserve"> associated with substance abuse have become worse, more visible, and more challenging to public order and safety</w:t>
      </w:r>
      <w:r w:rsidR="004B1293">
        <w:rPr>
          <w:rStyle w:val="FootnoteReference"/>
          <w:sz w:val="18"/>
        </w:rPr>
        <w:footnoteReference w:id="7"/>
      </w:r>
      <w:r w:rsidR="00B101C6">
        <w:rPr>
          <w:sz w:val="18"/>
        </w:rPr>
        <w:t>.</w:t>
      </w:r>
    </w:p>
    <w:p w14:paraId="4062D7BB" w14:textId="02264616" w:rsidR="00291BAA" w:rsidRPr="004B1293" w:rsidRDefault="00B101C6" w:rsidP="0087116C">
      <w:pPr>
        <w:spacing w:line="360" w:lineRule="auto"/>
        <w:rPr>
          <w:sz w:val="18"/>
        </w:rPr>
      </w:pPr>
      <w:r>
        <w:rPr>
          <w:sz w:val="18"/>
        </w:rPr>
        <w:t>Echoing the national data as previously outlined, t</w:t>
      </w:r>
      <w:r w:rsidR="000274A4">
        <w:rPr>
          <w:sz w:val="18"/>
        </w:rPr>
        <w:t>he three main problem drugs identified in the area are cannabis, crack cocaine, and cocaine</w:t>
      </w:r>
      <w:r w:rsidR="004F4500">
        <w:rPr>
          <w:sz w:val="18"/>
        </w:rPr>
        <w:t>. C</w:t>
      </w:r>
      <w:r w:rsidR="000274A4">
        <w:rPr>
          <w:sz w:val="18"/>
        </w:rPr>
        <w:t>rack cocaine has been identified as an immediate issue associated with complex and multifaceted service-user needs</w:t>
      </w:r>
      <w:r>
        <w:rPr>
          <w:sz w:val="18"/>
        </w:rPr>
        <w:t>. There is also</w:t>
      </w:r>
      <w:r w:rsidR="000274A4">
        <w:rPr>
          <w:sz w:val="18"/>
        </w:rPr>
        <w:t xml:space="preserve"> often a polydrug component</w:t>
      </w:r>
      <w:r>
        <w:rPr>
          <w:sz w:val="18"/>
        </w:rPr>
        <w:t>, meaning people are using more than one substance</w:t>
      </w:r>
      <w:r w:rsidR="000274A4">
        <w:rPr>
          <w:sz w:val="18"/>
        </w:rPr>
        <w:t>. The prevalence in crack cocaine use has resulted in increasing rates of mental health issues, the emergence of episodic intimidation and violence, and in a number of crack house being known</w:t>
      </w:r>
      <w:r>
        <w:rPr>
          <w:sz w:val="18"/>
        </w:rPr>
        <w:t xml:space="preserve"> and creating challenges</w:t>
      </w:r>
      <w:r w:rsidR="000274A4">
        <w:rPr>
          <w:sz w:val="18"/>
        </w:rPr>
        <w:t xml:space="preserve"> in the local community</w:t>
      </w:r>
      <w:r w:rsidR="00F15904">
        <w:rPr>
          <w:rStyle w:val="FootnoteReference"/>
          <w:sz w:val="18"/>
        </w:rPr>
        <w:footnoteReference w:id="8"/>
      </w:r>
      <w:r>
        <w:rPr>
          <w:sz w:val="18"/>
        </w:rPr>
        <w:t xml:space="preserve">. </w:t>
      </w:r>
      <w:r w:rsidR="000941A9">
        <w:rPr>
          <w:sz w:val="18"/>
        </w:rPr>
        <w:t xml:space="preserve"> Interviews with stakeholders also show that energy and food security are also emerging issues that affect families at risk. This issues are discussed further in the table </w:t>
      </w:r>
      <w:r w:rsidR="00781FE4">
        <w:rPr>
          <w:sz w:val="18"/>
        </w:rPr>
        <w:t>on the following page.</w:t>
      </w:r>
    </w:p>
    <w:p w14:paraId="2AFAEC3D" w14:textId="77777777" w:rsidR="00781FE4" w:rsidRDefault="00781FE4" w:rsidP="0087116C">
      <w:pPr>
        <w:spacing w:line="360" w:lineRule="auto"/>
        <w:rPr>
          <w:rFonts w:eastAsia="MS Gothic" w:cstheme="majorBidi"/>
          <w:b/>
          <w:color w:val="215868"/>
          <w:sz w:val="32"/>
          <w:szCs w:val="32"/>
        </w:rPr>
      </w:pPr>
      <w:bookmarkStart w:id="41" w:name="_Toc117669697"/>
      <w:r>
        <w:br w:type="page"/>
      </w:r>
    </w:p>
    <w:p w14:paraId="7745A8B0" w14:textId="77777777" w:rsidR="00472281" w:rsidRDefault="000E63BE" w:rsidP="0087116C">
      <w:pPr>
        <w:pStyle w:val="Heading1"/>
      </w:pPr>
      <w:bookmarkStart w:id="42" w:name="_Toc124260277"/>
      <w:r>
        <w:t xml:space="preserve">Issues Facing our Community </w:t>
      </w:r>
      <w:r w:rsidR="00046342">
        <w:t>and Our Response</w:t>
      </w:r>
      <w:bookmarkEnd w:id="41"/>
      <w:bookmarkEnd w:id="42"/>
    </w:p>
    <w:tbl>
      <w:tblPr>
        <w:tblStyle w:val="TableGrid"/>
        <w:tblW w:w="0" w:type="auto"/>
        <w:tblLook w:val="04A0" w:firstRow="1" w:lastRow="0" w:firstColumn="1" w:lastColumn="0" w:noHBand="0" w:noVBand="1"/>
      </w:tblPr>
      <w:tblGrid>
        <w:gridCol w:w="4673"/>
        <w:gridCol w:w="4343"/>
      </w:tblGrid>
      <w:tr w:rsidR="00046342" w:rsidRPr="00046342" w14:paraId="78005EA1" w14:textId="77777777" w:rsidTr="00993356">
        <w:tc>
          <w:tcPr>
            <w:tcW w:w="4673" w:type="dxa"/>
          </w:tcPr>
          <w:p w14:paraId="4665618C" w14:textId="77777777" w:rsidR="00046342" w:rsidRPr="00046342" w:rsidRDefault="00046342" w:rsidP="0087116C">
            <w:pPr>
              <w:spacing w:line="360" w:lineRule="auto"/>
              <w:rPr>
                <w:b/>
                <w:bCs/>
                <w:sz w:val="18"/>
              </w:rPr>
            </w:pPr>
            <w:r w:rsidRPr="00046342">
              <w:rPr>
                <w:b/>
                <w:bCs/>
                <w:sz w:val="18"/>
              </w:rPr>
              <w:t>The emerging issues</w:t>
            </w:r>
          </w:p>
        </w:tc>
        <w:tc>
          <w:tcPr>
            <w:tcW w:w="4343" w:type="dxa"/>
          </w:tcPr>
          <w:p w14:paraId="3A5C0A35" w14:textId="77777777" w:rsidR="00046342" w:rsidRPr="00046342" w:rsidRDefault="00046342" w:rsidP="0087116C">
            <w:pPr>
              <w:spacing w:line="360" w:lineRule="auto"/>
              <w:rPr>
                <w:b/>
                <w:bCs/>
                <w:sz w:val="18"/>
              </w:rPr>
            </w:pPr>
            <w:r w:rsidRPr="00046342">
              <w:rPr>
                <w:b/>
                <w:bCs/>
                <w:sz w:val="18"/>
              </w:rPr>
              <w:t>Our strategic responses 2023 - 2026</w:t>
            </w:r>
          </w:p>
        </w:tc>
      </w:tr>
      <w:tr w:rsidR="00046342" w:rsidRPr="00046342" w14:paraId="7262737B" w14:textId="77777777" w:rsidTr="005D60AB">
        <w:trPr>
          <w:trHeight w:val="500"/>
        </w:trPr>
        <w:tc>
          <w:tcPr>
            <w:tcW w:w="4673" w:type="dxa"/>
          </w:tcPr>
          <w:p w14:paraId="413B3C5A" w14:textId="77777777" w:rsidR="00046342" w:rsidRDefault="00046342" w:rsidP="0087116C">
            <w:pPr>
              <w:spacing w:line="360" w:lineRule="auto"/>
              <w:rPr>
                <w:sz w:val="18"/>
              </w:rPr>
            </w:pPr>
            <w:r w:rsidRPr="00046342">
              <w:rPr>
                <w:b/>
                <w:bCs/>
                <w:sz w:val="18"/>
              </w:rPr>
              <w:t xml:space="preserve">Increasing crack cocaine </w:t>
            </w:r>
            <w:r w:rsidR="00FC6F24">
              <w:rPr>
                <w:b/>
                <w:bCs/>
                <w:sz w:val="18"/>
              </w:rPr>
              <w:t xml:space="preserve">and cocaine </w:t>
            </w:r>
            <w:r w:rsidRPr="00046342">
              <w:rPr>
                <w:b/>
                <w:bCs/>
                <w:sz w:val="18"/>
              </w:rPr>
              <w:t>use</w:t>
            </w:r>
            <w:r w:rsidRPr="00046342">
              <w:rPr>
                <w:sz w:val="18"/>
              </w:rPr>
              <w:t xml:space="preserve"> in the area</w:t>
            </w:r>
            <w:r w:rsidR="00FC6F24">
              <w:rPr>
                <w:sz w:val="18"/>
              </w:rPr>
              <w:t xml:space="preserve"> </w:t>
            </w:r>
            <w:r w:rsidRPr="00046342">
              <w:rPr>
                <w:sz w:val="18"/>
              </w:rPr>
              <w:t>is having a significant impact on individual and family wellbeing and safety.</w:t>
            </w:r>
          </w:p>
          <w:p w14:paraId="188717E6" w14:textId="77777777" w:rsidR="004F4500" w:rsidRPr="00046342" w:rsidRDefault="004F4500" w:rsidP="0087116C">
            <w:pPr>
              <w:spacing w:line="360" w:lineRule="auto"/>
              <w:rPr>
                <w:sz w:val="18"/>
              </w:rPr>
            </w:pPr>
          </w:p>
        </w:tc>
        <w:tc>
          <w:tcPr>
            <w:tcW w:w="4343" w:type="dxa"/>
            <w:vMerge w:val="restart"/>
          </w:tcPr>
          <w:p w14:paraId="11AC85CF" w14:textId="77777777" w:rsidR="00046342" w:rsidRDefault="00340472" w:rsidP="0087116C">
            <w:pPr>
              <w:spacing w:line="360" w:lineRule="auto"/>
              <w:rPr>
                <w:sz w:val="18"/>
              </w:rPr>
            </w:pPr>
            <w:r>
              <w:rPr>
                <w:sz w:val="18"/>
              </w:rPr>
              <w:t>E</w:t>
            </w:r>
            <w:r w:rsidR="00046342" w:rsidRPr="00046342">
              <w:rPr>
                <w:sz w:val="18"/>
              </w:rPr>
              <w:t xml:space="preserve">xtend our </w:t>
            </w:r>
            <w:r w:rsidR="00046342" w:rsidRPr="00340472">
              <w:rPr>
                <w:sz w:val="18"/>
              </w:rPr>
              <w:t xml:space="preserve">Assertive Outreach </w:t>
            </w:r>
            <w:r>
              <w:rPr>
                <w:sz w:val="18"/>
              </w:rPr>
              <w:t>P</w:t>
            </w:r>
            <w:r w:rsidR="00046342" w:rsidRPr="00340472">
              <w:rPr>
                <w:sz w:val="18"/>
              </w:rPr>
              <w:t>rogramme,</w:t>
            </w:r>
            <w:r w:rsidR="00046342" w:rsidRPr="00046342">
              <w:rPr>
                <w:sz w:val="18"/>
              </w:rPr>
              <w:t xml:space="preserve"> working with partners such as HSE and Tusla, in order to ensure the hardest to reach families, at the highest risk, have practical and meaningful supports through an assertive outreach and food programme.</w:t>
            </w:r>
          </w:p>
          <w:p w14:paraId="229612F8" w14:textId="77777777" w:rsidR="00340472" w:rsidRPr="00046342" w:rsidRDefault="00340472" w:rsidP="0087116C">
            <w:pPr>
              <w:spacing w:line="360" w:lineRule="auto"/>
              <w:rPr>
                <w:sz w:val="18"/>
              </w:rPr>
            </w:pPr>
          </w:p>
        </w:tc>
      </w:tr>
      <w:tr w:rsidR="00046342" w:rsidRPr="00046342" w14:paraId="34C20190" w14:textId="77777777" w:rsidTr="005D60AB">
        <w:trPr>
          <w:trHeight w:val="328"/>
        </w:trPr>
        <w:tc>
          <w:tcPr>
            <w:tcW w:w="4673" w:type="dxa"/>
          </w:tcPr>
          <w:p w14:paraId="16F31681" w14:textId="77777777" w:rsidR="004F4500" w:rsidRDefault="00046342" w:rsidP="0087116C">
            <w:pPr>
              <w:spacing w:line="360" w:lineRule="auto"/>
              <w:rPr>
                <w:sz w:val="18"/>
              </w:rPr>
            </w:pPr>
            <w:r w:rsidRPr="00046342">
              <w:rPr>
                <w:b/>
                <w:bCs/>
                <w:sz w:val="18"/>
              </w:rPr>
              <w:t>Increasing cost</w:t>
            </w:r>
            <w:r w:rsidR="00182495">
              <w:rPr>
                <w:b/>
                <w:bCs/>
                <w:sz w:val="18"/>
              </w:rPr>
              <w:t>s</w:t>
            </w:r>
            <w:r w:rsidRPr="00046342">
              <w:rPr>
                <w:b/>
                <w:bCs/>
                <w:sz w:val="18"/>
              </w:rPr>
              <w:t xml:space="preserve"> of living </w:t>
            </w:r>
            <w:r w:rsidR="00182495">
              <w:rPr>
                <w:sz w:val="18"/>
              </w:rPr>
              <w:t>are</w:t>
            </w:r>
            <w:r w:rsidRPr="00046342">
              <w:rPr>
                <w:sz w:val="18"/>
              </w:rPr>
              <w:t xml:space="preserve"> leaving vulnerable families without basic living standards</w:t>
            </w:r>
            <w:r w:rsidR="00FC6F24">
              <w:rPr>
                <w:sz w:val="18"/>
              </w:rPr>
              <w:t>. In particular, rising energy and food prices are eroding living standards</w:t>
            </w:r>
            <w:r w:rsidR="00B44201">
              <w:rPr>
                <w:sz w:val="18"/>
              </w:rPr>
              <w:t>.</w:t>
            </w:r>
          </w:p>
          <w:p w14:paraId="45F52926" w14:textId="3B8C7862" w:rsidR="00B101C6" w:rsidRPr="00836C73" w:rsidRDefault="00B101C6" w:rsidP="0087116C">
            <w:pPr>
              <w:spacing w:line="360" w:lineRule="auto"/>
              <w:rPr>
                <w:color w:val="FF0000"/>
                <w:sz w:val="18"/>
              </w:rPr>
            </w:pPr>
          </w:p>
        </w:tc>
        <w:tc>
          <w:tcPr>
            <w:tcW w:w="4343" w:type="dxa"/>
            <w:vMerge/>
          </w:tcPr>
          <w:p w14:paraId="69386D32" w14:textId="77777777" w:rsidR="00046342" w:rsidRPr="00046342" w:rsidRDefault="00046342" w:rsidP="0087116C">
            <w:pPr>
              <w:spacing w:line="360" w:lineRule="auto"/>
              <w:rPr>
                <w:sz w:val="18"/>
              </w:rPr>
            </w:pPr>
          </w:p>
        </w:tc>
      </w:tr>
      <w:tr w:rsidR="00046342" w14:paraId="6AF3F56E" w14:textId="77777777" w:rsidTr="00993356">
        <w:tc>
          <w:tcPr>
            <w:tcW w:w="4673" w:type="dxa"/>
          </w:tcPr>
          <w:p w14:paraId="7CDD1C52" w14:textId="115B684D" w:rsidR="004F4500" w:rsidRDefault="00046342" w:rsidP="0087116C">
            <w:pPr>
              <w:spacing w:line="360" w:lineRule="auto"/>
              <w:rPr>
                <w:sz w:val="18"/>
              </w:rPr>
            </w:pPr>
            <w:r w:rsidRPr="00672EE1">
              <w:rPr>
                <w:sz w:val="18"/>
              </w:rPr>
              <w:t>The service model is underfunded with a</w:t>
            </w:r>
            <w:r w:rsidRPr="00672EE1">
              <w:rPr>
                <w:b/>
                <w:bCs/>
                <w:sz w:val="18"/>
              </w:rPr>
              <w:t xml:space="preserve"> </w:t>
            </w:r>
            <w:r w:rsidR="00672EE1">
              <w:rPr>
                <w:b/>
                <w:bCs/>
                <w:sz w:val="18"/>
              </w:rPr>
              <w:t>significant</w:t>
            </w:r>
            <w:r w:rsidRPr="00672EE1">
              <w:rPr>
                <w:b/>
                <w:bCs/>
                <w:sz w:val="18"/>
              </w:rPr>
              <w:t xml:space="preserve"> reliance on CE programme staff</w:t>
            </w:r>
            <w:r w:rsidRPr="00672EE1">
              <w:rPr>
                <w:sz w:val="18"/>
              </w:rPr>
              <w:t xml:space="preserve">. </w:t>
            </w:r>
            <w:r w:rsidR="00672EE1" w:rsidRPr="00672EE1">
              <w:rPr>
                <w:sz w:val="18"/>
              </w:rPr>
              <w:t>Increasing</w:t>
            </w:r>
            <w:r w:rsidRPr="00672EE1">
              <w:rPr>
                <w:sz w:val="18"/>
              </w:rPr>
              <w:t xml:space="preserve"> </w:t>
            </w:r>
            <w:r w:rsidR="00672EE1" w:rsidRPr="00672EE1">
              <w:rPr>
                <w:sz w:val="18"/>
              </w:rPr>
              <w:t>quality standards</w:t>
            </w:r>
            <w:r w:rsidR="001D4D71">
              <w:rPr>
                <w:sz w:val="18"/>
              </w:rPr>
              <w:t xml:space="preserve"> (care planning and key working)</w:t>
            </w:r>
            <w:r w:rsidR="00672EE1">
              <w:rPr>
                <w:sz w:val="18"/>
              </w:rPr>
              <w:t>, standards for recording work</w:t>
            </w:r>
            <w:r w:rsidR="001D4D71">
              <w:rPr>
                <w:sz w:val="18"/>
              </w:rPr>
              <w:t xml:space="preserve"> data (data protection, NDTRS reporting),</w:t>
            </w:r>
            <w:r w:rsidR="00672EE1">
              <w:rPr>
                <w:sz w:val="18"/>
              </w:rPr>
              <w:t xml:space="preserve"> and interagency requirements (i.e. Meith</w:t>
            </w:r>
            <w:r w:rsidR="00EA2CEA">
              <w:rPr>
                <w:sz w:val="18"/>
              </w:rPr>
              <w:t>e</w:t>
            </w:r>
            <w:r w:rsidR="00672EE1">
              <w:rPr>
                <w:sz w:val="18"/>
              </w:rPr>
              <w:t xml:space="preserve">al) require that staff have </w:t>
            </w:r>
            <w:r w:rsidR="001D4D71">
              <w:rPr>
                <w:sz w:val="18"/>
              </w:rPr>
              <w:t xml:space="preserve">advanced workplace skills. </w:t>
            </w:r>
            <w:r w:rsidR="00CA20D1">
              <w:rPr>
                <w:sz w:val="18"/>
              </w:rPr>
              <w:t>Increasing case complexity also means that</w:t>
            </w:r>
            <w:r w:rsidR="00B101C6">
              <w:rPr>
                <w:sz w:val="18"/>
              </w:rPr>
              <w:t xml:space="preserve"> service users</w:t>
            </w:r>
            <w:r w:rsidR="00CA20D1">
              <w:rPr>
                <w:sz w:val="18"/>
              </w:rPr>
              <w:t xml:space="preserve"> need a range of supports over a long period of time, which puts further strain on the resourcing model.</w:t>
            </w:r>
          </w:p>
          <w:p w14:paraId="11C2C875" w14:textId="73897F14" w:rsidR="00B101C6" w:rsidRPr="00672EE1" w:rsidRDefault="00B101C6" w:rsidP="0087116C">
            <w:pPr>
              <w:spacing w:line="360" w:lineRule="auto"/>
              <w:rPr>
                <w:sz w:val="18"/>
              </w:rPr>
            </w:pPr>
          </w:p>
        </w:tc>
        <w:tc>
          <w:tcPr>
            <w:tcW w:w="4343" w:type="dxa"/>
          </w:tcPr>
          <w:p w14:paraId="7890ED7E" w14:textId="351DC583" w:rsidR="00AF7F47" w:rsidRPr="00993356" w:rsidRDefault="00CA20D1" w:rsidP="0087116C">
            <w:pPr>
              <w:spacing w:line="360" w:lineRule="auto"/>
              <w:rPr>
                <w:sz w:val="18"/>
              </w:rPr>
            </w:pPr>
            <w:r w:rsidRPr="00993356">
              <w:rPr>
                <w:sz w:val="18"/>
              </w:rPr>
              <w:t xml:space="preserve">The service will continue to </w:t>
            </w:r>
            <w:r w:rsidRPr="00340472">
              <w:rPr>
                <w:b/>
                <w:bCs/>
                <w:sz w:val="18"/>
              </w:rPr>
              <w:t xml:space="preserve">work </w:t>
            </w:r>
            <w:r w:rsidR="00B101C6">
              <w:rPr>
                <w:b/>
                <w:bCs/>
                <w:sz w:val="18"/>
              </w:rPr>
              <w:t xml:space="preserve">with </w:t>
            </w:r>
            <w:r w:rsidRPr="00340472">
              <w:rPr>
                <w:b/>
                <w:bCs/>
                <w:sz w:val="18"/>
              </w:rPr>
              <w:t>key funders to ensure that the business model</w:t>
            </w:r>
            <w:r w:rsidRPr="00993356">
              <w:rPr>
                <w:sz w:val="18"/>
              </w:rPr>
              <w:t xml:space="preserve"> is robust and can </w:t>
            </w:r>
            <w:r w:rsidR="00993356" w:rsidRPr="00993356">
              <w:rPr>
                <w:sz w:val="18"/>
              </w:rPr>
              <w:t xml:space="preserve">ensure </w:t>
            </w:r>
            <w:r w:rsidR="00AF7F47">
              <w:rPr>
                <w:sz w:val="18"/>
              </w:rPr>
              <w:t>that clients who require  case management supports</w:t>
            </w:r>
            <w:r w:rsidR="00B101C6">
              <w:rPr>
                <w:sz w:val="18"/>
              </w:rPr>
              <w:t xml:space="preserve"> receive a high quality service; this </w:t>
            </w:r>
            <w:r w:rsidR="00AF7F47">
              <w:rPr>
                <w:sz w:val="18"/>
              </w:rPr>
              <w:t>mean</w:t>
            </w:r>
            <w:r w:rsidR="00B101C6">
              <w:rPr>
                <w:sz w:val="18"/>
              </w:rPr>
              <w:t>s ongoing efforts to secure</w:t>
            </w:r>
            <w:r w:rsidR="00AF7F47">
              <w:rPr>
                <w:sz w:val="18"/>
              </w:rPr>
              <w:t xml:space="preserve"> additional staff resources.</w:t>
            </w:r>
          </w:p>
        </w:tc>
      </w:tr>
      <w:tr w:rsidR="00046342" w:rsidRPr="00993356" w14:paraId="174C8D3E" w14:textId="77777777" w:rsidTr="00993356">
        <w:tc>
          <w:tcPr>
            <w:tcW w:w="4673" w:type="dxa"/>
          </w:tcPr>
          <w:p w14:paraId="2C1B6424" w14:textId="77777777" w:rsidR="00046342" w:rsidRPr="00993356" w:rsidRDefault="00993356" w:rsidP="0087116C">
            <w:pPr>
              <w:spacing w:line="360" w:lineRule="auto"/>
              <w:rPr>
                <w:sz w:val="18"/>
              </w:rPr>
            </w:pPr>
            <w:r w:rsidRPr="00993356">
              <w:rPr>
                <w:sz w:val="18"/>
              </w:rPr>
              <w:t xml:space="preserve">There is a risk for people in treatment that if they </w:t>
            </w:r>
            <w:r w:rsidR="008F153E">
              <w:rPr>
                <w:sz w:val="18"/>
              </w:rPr>
              <w:t xml:space="preserve">cannot find </w:t>
            </w:r>
            <w:r w:rsidR="008F153E" w:rsidRPr="007F77CE">
              <w:rPr>
                <w:b/>
                <w:bCs/>
                <w:sz w:val="18"/>
              </w:rPr>
              <w:t xml:space="preserve">meaningful </w:t>
            </w:r>
            <w:r w:rsidRPr="007F77CE">
              <w:rPr>
                <w:b/>
                <w:bCs/>
                <w:sz w:val="18"/>
              </w:rPr>
              <w:t>activities</w:t>
            </w:r>
            <w:r>
              <w:rPr>
                <w:sz w:val="18"/>
              </w:rPr>
              <w:t>,</w:t>
            </w:r>
            <w:r w:rsidRPr="00993356">
              <w:rPr>
                <w:sz w:val="18"/>
              </w:rPr>
              <w:t xml:space="preserve"> the </w:t>
            </w:r>
            <w:r w:rsidR="008F153E">
              <w:rPr>
                <w:sz w:val="18"/>
              </w:rPr>
              <w:t xml:space="preserve">risk </w:t>
            </w:r>
            <w:r w:rsidR="00F24831">
              <w:rPr>
                <w:sz w:val="18"/>
              </w:rPr>
              <w:t>o</w:t>
            </w:r>
            <w:r w:rsidR="008F153E">
              <w:rPr>
                <w:sz w:val="18"/>
              </w:rPr>
              <w:t xml:space="preserve">f relapse </w:t>
            </w:r>
            <w:r>
              <w:rPr>
                <w:sz w:val="18"/>
              </w:rPr>
              <w:t>increas</w:t>
            </w:r>
            <w:r w:rsidR="008F153E">
              <w:rPr>
                <w:sz w:val="18"/>
              </w:rPr>
              <w:t>es</w:t>
            </w:r>
            <w:r w:rsidRPr="00993356">
              <w:rPr>
                <w:sz w:val="18"/>
              </w:rPr>
              <w:t>.</w:t>
            </w:r>
          </w:p>
        </w:tc>
        <w:tc>
          <w:tcPr>
            <w:tcW w:w="4343" w:type="dxa"/>
          </w:tcPr>
          <w:p w14:paraId="31AC227E" w14:textId="522EFCB1" w:rsidR="004F4500" w:rsidRDefault="00CC23FE" w:rsidP="0087116C">
            <w:pPr>
              <w:spacing w:line="360" w:lineRule="auto"/>
              <w:rPr>
                <w:sz w:val="18"/>
              </w:rPr>
            </w:pPr>
            <w:r>
              <w:rPr>
                <w:b/>
                <w:bCs/>
                <w:sz w:val="18"/>
              </w:rPr>
              <w:t>E</w:t>
            </w:r>
            <w:r w:rsidR="00993356" w:rsidRPr="00340472">
              <w:rPr>
                <w:b/>
                <w:bCs/>
                <w:sz w:val="18"/>
              </w:rPr>
              <w:t>xplore a range of work</w:t>
            </w:r>
            <w:r w:rsidR="001E6438">
              <w:rPr>
                <w:b/>
                <w:bCs/>
                <w:sz w:val="18"/>
              </w:rPr>
              <w:t xml:space="preserve">, </w:t>
            </w:r>
            <w:r w:rsidR="00993356" w:rsidRPr="00340472">
              <w:rPr>
                <w:b/>
                <w:bCs/>
                <w:sz w:val="18"/>
              </w:rPr>
              <w:t>personal development</w:t>
            </w:r>
            <w:r w:rsidR="001E6438">
              <w:rPr>
                <w:b/>
                <w:bCs/>
                <w:sz w:val="18"/>
              </w:rPr>
              <w:t>,</w:t>
            </w:r>
            <w:r w:rsidR="00993356" w:rsidRPr="00340472">
              <w:rPr>
                <w:b/>
                <w:bCs/>
                <w:sz w:val="18"/>
              </w:rPr>
              <w:t xml:space="preserve"> a</w:t>
            </w:r>
            <w:r w:rsidR="001E6438">
              <w:rPr>
                <w:b/>
                <w:bCs/>
                <w:sz w:val="18"/>
              </w:rPr>
              <w:t xml:space="preserve">nd </w:t>
            </w:r>
            <w:r w:rsidR="00993356" w:rsidRPr="00340472">
              <w:rPr>
                <w:b/>
                <w:bCs/>
                <w:sz w:val="18"/>
              </w:rPr>
              <w:t>recovery orientated programmes</w:t>
            </w:r>
            <w:r w:rsidR="0087116C">
              <w:rPr>
                <w:b/>
                <w:bCs/>
                <w:sz w:val="18"/>
              </w:rPr>
              <w:t xml:space="preserve"> and pathways</w:t>
            </w:r>
            <w:r w:rsidR="00993356">
              <w:rPr>
                <w:sz w:val="18"/>
              </w:rPr>
              <w:t>, in partnership with relevant services</w:t>
            </w:r>
            <w:r w:rsidR="001E6438">
              <w:rPr>
                <w:sz w:val="18"/>
              </w:rPr>
              <w:t xml:space="preserve"> </w:t>
            </w:r>
            <w:r w:rsidR="00993356">
              <w:rPr>
                <w:sz w:val="18"/>
              </w:rPr>
              <w:t xml:space="preserve">to explore how best to meet client needs.  </w:t>
            </w:r>
          </w:p>
          <w:p w14:paraId="31DD7133" w14:textId="50FA6972" w:rsidR="00B101C6" w:rsidRPr="00993356" w:rsidRDefault="00B101C6" w:rsidP="0087116C">
            <w:pPr>
              <w:spacing w:line="360" w:lineRule="auto"/>
              <w:rPr>
                <w:sz w:val="18"/>
              </w:rPr>
            </w:pPr>
          </w:p>
        </w:tc>
      </w:tr>
      <w:tr w:rsidR="00046342" w:rsidRPr="008F153E" w14:paraId="307B39A8" w14:textId="77777777" w:rsidTr="00993356">
        <w:tc>
          <w:tcPr>
            <w:tcW w:w="4673" w:type="dxa"/>
          </w:tcPr>
          <w:p w14:paraId="55FC6ACF" w14:textId="5D92466A" w:rsidR="00046342" w:rsidRDefault="008F153E" w:rsidP="0087116C">
            <w:pPr>
              <w:spacing w:line="360" w:lineRule="auto"/>
              <w:rPr>
                <w:sz w:val="18"/>
              </w:rPr>
            </w:pPr>
            <w:r w:rsidRPr="008F153E">
              <w:rPr>
                <w:sz w:val="18"/>
              </w:rPr>
              <w:t xml:space="preserve">There is a need </w:t>
            </w:r>
            <w:r w:rsidR="00B101C6">
              <w:rPr>
                <w:sz w:val="18"/>
              </w:rPr>
              <w:t xml:space="preserve">locally </w:t>
            </w:r>
            <w:r w:rsidRPr="008F153E">
              <w:rPr>
                <w:sz w:val="18"/>
              </w:rPr>
              <w:t xml:space="preserve">to provide additional </w:t>
            </w:r>
            <w:r w:rsidRPr="007F77CE">
              <w:rPr>
                <w:b/>
                <w:bCs/>
                <w:sz w:val="18"/>
              </w:rPr>
              <w:t>parenting supports and after schools services for young people in families at ris</w:t>
            </w:r>
            <w:r w:rsidR="008B5CA2">
              <w:rPr>
                <w:b/>
                <w:bCs/>
                <w:sz w:val="18"/>
              </w:rPr>
              <w:t>k</w:t>
            </w:r>
            <w:r>
              <w:rPr>
                <w:sz w:val="18"/>
              </w:rPr>
              <w:t xml:space="preserve"> in order to break generational drug use</w:t>
            </w:r>
            <w:r w:rsidR="008B5CA2">
              <w:rPr>
                <w:sz w:val="18"/>
              </w:rPr>
              <w:t xml:space="preserve"> </w:t>
            </w:r>
            <w:r>
              <w:rPr>
                <w:sz w:val="18"/>
              </w:rPr>
              <w:t>and create hopeful futures for the community.</w:t>
            </w:r>
          </w:p>
          <w:p w14:paraId="6ED34396" w14:textId="226D4BAA" w:rsidR="00B101C6" w:rsidRPr="008F153E" w:rsidRDefault="00B101C6" w:rsidP="0087116C">
            <w:pPr>
              <w:spacing w:line="360" w:lineRule="auto"/>
              <w:rPr>
                <w:sz w:val="18"/>
              </w:rPr>
            </w:pPr>
          </w:p>
        </w:tc>
        <w:tc>
          <w:tcPr>
            <w:tcW w:w="4343" w:type="dxa"/>
          </w:tcPr>
          <w:p w14:paraId="39D4B6F2" w14:textId="7D1B2D2C" w:rsidR="00340472" w:rsidRPr="008F153E" w:rsidRDefault="00CC23FE" w:rsidP="0087116C">
            <w:pPr>
              <w:spacing w:line="360" w:lineRule="auto"/>
              <w:rPr>
                <w:sz w:val="18"/>
              </w:rPr>
            </w:pPr>
            <w:r>
              <w:rPr>
                <w:sz w:val="18"/>
              </w:rPr>
              <w:t xml:space="preserve">The service will aim to </w:t>
            </w:r>
            <w:r w:rsidRPr="005D60AB">
              <w:rPr>
                <w:b/>
                <w:bCs/>
                <w:sz w:val="18"/>
              </w:rPr>
              <w:t>increase places for childcare services</w:t>
            </w:r>
            <w:r>
              <w:rPr>
                <w:sz w:val="18"/>
              </w:rPr>
              <w:t xml:space="preserve"> by </w:t>
            </w:r>
            <w:r w:rsidR="00945D73">
              <w:rPr>
                <w:sz w:val="18"/>
              </w:rPr>
              <w:t xml:space="preserve">providing afternoon services. </w:t>
            </w:r>
          </w:p>
        </w:tc>
      </w:tr>
    </w:tbl>
    <w:p w14:paraId="025FB069" w14:textId="77777777" w:rsidR="00046342" w:rsidRPr="00046342" w:rsidRDefault="00046342" w:rsidP="0087116C">
      <w:pPr>
        <w:spacing w:line="360" w:lineRule="auto"/>
      </w:pPr>
    </w:p>
    <w:p w14:paraId="2BFF5F79" w14:textId="77777777" w:rsidR="000E63BE" w:rsidRDefault="000E63BE" w:rsidP="0087116C">
      <w:pPr>
        <w:spacing w:line="360" w:lineRule="auto"/>
      </w:pPr>
    </w:p>
    <w:p w14:paraId="7EFE68B1" w14:textId="77777777" w:rsidR="000E63BE" w:rsidRDefault="000E63BE" w:rsidP="0087116C">
      <w:pPr>
        <w:spacing w:line="360" w:lineRule="auto"/>
        <w:rPr>
          <w:rFonts w:eastAsia="MS Gothic" w:cstheme="majorBidi"/>
          <w:bCs/>
          <w:color w:val="215868"/>
          <w:sz w:val="36"/>
          <w:szCs w:val="28"/>
        </w:rPr>
      </w:pPr>
      <w:r>
        <w:br w:type="page"/>
      </w:r>
    </w:p>
    <w:p w14:paraId="010346F1" w14:textId="6FA104CA" w:rsidR="00241473" w:rsidRDefault="000941A9" w:rsidP="0087116C">
      <w:pPr>
        <w:pStyle w:val="Heading1"/>
      </w:pPr>
      <w:bookmarkStart w:id="43" w:name="_Toc117669698"/>
      <w:bookmarkStart w:id="44" w:name="_Toc124260278"/>
      <w:r>
        <w:t xml:space="preserve">Our </w:t>
      </w:r>
      <w:r w:rsidR="00241473">
        <w:t>Services</w:t>
      </w:r>
      <w:r w:rsidR="000E63BE">
        <w:t xml:space="preserve"> </w:t>
      </w:r>
      <w:r w:rsidR="00B101C6">
        <w:t>and</w:t>
      </w:r>
      <w:r w:rsidR="000E63BE">
        <w:t xml:space="preserve"> the Wheel of Change</w:t>
      </w:r>
      <w:bookmarkEnd w:id="43"/>
      <w:bookmarkEnd w:id="44"/>
    </w:p>
    <w:p w14:paraId="1C0EFA2B" w14:textId="7BFB6302" w:rsidR="00CA6CB6" w:rsidRDefault="00241473" w:rsidP="0087116C">
      <w:pPr>
        <w:spacing w:line="360" w:lineRule="auto"/>
        <w:rPr>
          <w:sz w:val="18"/>
        </w:rPr>
      </w:pPr>
      <w:r w:rsidRPr="00AC04DD">
        <w:rPr>
          <w:sz w:val="18"/>
        </w:rPr>
        <w:t xml:space="preserve">The diagram below shows JADD services </w:t>
      </w:r>
      <w:r w:rsidR="00B101C6">
        <w:rPr>
          <w:sz w:val="18"/>
        </w:rPr>
        <w:t xml:space="preserve">positioned on </w:t>
      </w:r>
      <w:r w:rsidRPr="00AC04DD">
        <w:rPr>
          <w:sz w:val="18"/>
        </w:rPr>
        <w:t>the Wheel of Change</w:t>
      </w:r>
      <w:r w:rsidRPr="00AC04DD">
        <w:rPr>
          <w:rStyle w:val="FootnoteReference"/>
          <w:sz w:val="18"/>
        </w:rPr>
        <w:footnoteReference w:id="9"/>
      </w:r>
      <w:r w:rsidR="00B101C6">
        <w:rPr>
          <w:sz w:val="18"/>
        </w:rPr>
        <w:t>, a</w:t>
      </w:r>
      <w:r w:rsidR="00AC04DD" w:rsidRPr="00AC04DD">
        <w:rPr>
          <w:sz w:val="18"/>
        </w:rPr>
        <w:t xml:space="preserve"> model</w:t>
      </w:r>
      <w:r w:rsidR="00B101C6">
        <w:rPr>
          <w:sz w:val="18"/>
        </w:rPr>
        <w:t xml:space="preserve"> describing individual change,</w:t>
      </w:r>
      <w:r w:rsidR="00AC04DD" w:rsidRPr="00AC04DD">
        <w:rPr>
          <w:sz w:val="18"/>
        </w:rPr>
        <w:t xml:space="preserve"> which has remained in use since its development in the 1980s</w:t>
      </w:r>
      <w:r w:rsidR="00AC04DD">
        <w:rPr>
          <w:sz w:val="18"/>
        </w:rPr>
        <w:t xml:space="preserve">. </w:t>
      </w:r>
      <w:r w:rsidR="00B101C6">
        <w:rPr>
          <w:sz w:val="18"/>
        </w:rPr>
        <w:t>The Wheel of Change</w:t>
      </w:r>
      <w:r w:rsidR="00AC04DD">
        <w:rPr>
          <w:sz w:val="18"/>
        </w:rPr>
        <w:t xml:space="preserve"> shows </w:t>
      </w:r>
      <w:r w:rsidR="00AC04DD" w:rsidRPr="00AC04DD">
        <w:rPr>
          <w:sz w:val="18"/>
        </w:rPr>
        <w:t xml:space="preserve">the common stages that people progress through from active drug or alcohol use </w:t>
      </w:r>
      <w:r w:rsidR="00CA6CB6">
        <w:rPr>
          <w:sz w:val="18"/>
        </w:rPr>
        <w:t xml:space="preserve">to </w:t>
      </w:r>
      <w:r w:rsidR="00AC04DD" w:rsidRPr="00AC04DD">
        <w:rPr>
          <w:sz w:val="18"/>
        </w:rPr>
        <w:t>a drug free life. The model helps clarify the focus of the service</w:t>
      </w:r>
      <w:r w:rsidR="00CA6CB6">
        <w:rPr>
          <w:sz w:val="18"/>
        </w:rPr>
        <w:t xml:space="preserve"> and its role in people's recovery journey</w:t>
      </w:r>
      <w:r w:rsidR="00AC04DD">
        <w:rPr>
          <w:sz w:val="18"/>
        </w:rPr>
        <w:t>.</w:t>
      </w:r>
      <w:r w:rsidR="00AC04DD" w:rsidRPr="00AC04DD">
        <w:rPr>
          <w:sz w:val="18"/>
        </w:rPr>
        <w:t xml:space="preserve"> </w:t>
      </w:r>
    </w:p>
    <w:p w14:paraId="70EB7C87" w14:textId="76122E1F" w:rsidR="00CA6CB6" w:rsidRDefault="00B06790" w:rsidP="0087116C">
      <w:pPr>
        <w:spacing w:line="360" w:lineRule="auto"/>
        <w:rPr>
          <w:sz w:val="18"/>
        </w:rPr>
      </w:pPr>
      <w:r>
        <w:rPr>
          <w:sz w:val="18"/>
        </w:rPr>
        <w:t>It is challenging for any one service to have sufficient resources and expertise to work in-depth at every stage in the model</w:t>
      </w:r>
      <w:r w:rsidR="00CA6CB6">
        <w:rPr>
          <w:sz w:val="18"/>
        </w:rPr>
        <w:t>. Specialisation and focus on areas of strength as well as partnership with other providers are frequent themes of funder and stakeholder aspirations for service providers</w:t>
      </w:r>
      <w:r>
        <w:rPr>
          <w:sz w:val="18"/>
        </w:rPr>
        <w:t xml:space="preserve">. To ensure </w:t>
      </w:r>
      <w:r w:rsidR="00CA6CB6">
        <w:rPr>
          <w:sz w:val="18"/>
        </w:rPr>
        <w:t>quality service provision and that</w:t>
      </w:r>
      <w:r>
        <w:rPr>
          <w:sz w:val="18"/>
        </w:rPr>
        <w:t xml:space="preserve"> resources are being used most effectively, interagency work is required. </w:t>
      </w:r>
    </w:p>
    <w:p w14:paraId="75C529BE" w14:textId="00DA3AA3" w:rsidR="00AC04DD" w:rsidRDefault="00B06790" w:rsidP="0087116C">
      <w:pPr>
        <w:spacing w:line="360" w:lineRule="auto"/>
        <w:rPr>
          <w:sz w:val="18"/>
        </w:rPr>
      </w:pPr>
      <w:r>
        <w:rPr>
          <w:sz w:val="18"/>
        </w:rPr>
        <w:t xml:space="preserve">The diagram shows that </w:t>
      </w:r>
      <w:r w:rsidR="00AC04DD">
        <w:rPr>
          <w:sz w:val="18"/>
        </w:rPr>
        <w:t xml:space="preserve">the focus of JADD is </w:t>
      </w:r>
      <w:r w:rsidR="00CA6CB6">
        <w:rPr>
          <w:sz w:val="18"/>
        </w:rPr>
        <w:t xml:space="preserve">primarily </w:t>
      </w:r>
      <w:r w:rsidR="00AC04DD">
        <w:rPr>
          <w:sz w:val="18"/>
        </w:rPr>
        <w:t xml:space="preserve">in supporting people in active addiction to access services, reduce harm, </w:t>
      </w:r>
      <w:r>
        <w:rPr>
          <w:sz w:val="18"/>
        </w:rPr>
        <w:t>meet basic health and safety needs, and then to progress into treatment</w:t>
      </w:r>
      <w:r w:rsidR="00CA6CB6">
        <w:rPr>
          <w:sz w:val="18"/>
        </w:rPr>
        <w:t>. Throughout this part of the journey</w:t>
      </w:r>
      <w:r>
        <w:rPr>
          <w:sz w:val="18"/>
        </w:rPr>
        <w:t xml:space="preserve"> </w:t>
      </w:r>
      <w:r w:rsidR="00CA6CB6">
        <w:rPr>
          <w:sz w:val="18"/>
        </w:rPr>
        <w:t xml:space="preserve">service users are being supported to </w:t>
      </w:r>
      <w:r>
        <w:rPr>
          <w:sz w:val="18"/>
        </w:rPr>
        <w:t>explore and attain their potential to change and progress. People requiring long-term residential rehabilitation are referred to services operating that at this stage of the wheel.</w:t>
      </w:r>
    </w:p>
    <w:p w14:paraId="27DF65F2" w14:textId="77777777" w:rsidR="000E63BE" w:rsidRDefault="00241473" w:rsidP="0087116C">
      <w:pPr>
        <w:spacing w:line="360" w:lineRule="auto"/>
      </w:pPr>
      <w:r>
        <w:rPr>
          <w:noProof/>
          <w:lang w:eastAsia="en-IE"/>
        </w:rPr>
        <w:drawing>
          <wp:inline distT="0" distB="0" distL="0" distR="0" wp14:anchorId="0CC378C9" wp14:editId="41FD615B">
            <wp:extent cx="5952565" cy="409477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060081" cy="4168739"/>
                    </a:xfrm>
                    <a:prstGeom prst="rect">
                      <a:avLst/>
                    </a:prstGeom>
                  </pic:spPr>
                </pic:pic>
              </a:graphicData>
            </a:graphic>
          </wp:inline>
        </w:drawing>
      </w:r>
    </w:p>
    <w:p w14:paraId="5C1BA13C" w14:textId="77777777" w:rsidR="00EA423D" w:rsidRDefault="00781FE4" w:rsidP="0087116C">
      <w:pPr>
        <w:pStyle w:val="Heading1"/>
      </w:pPr>
      <w:bookmarkStart w:id="45" w:name="_Toc117669699"/>
      <w:bookmarkStart w:id="46" w:name="_Toc124260279"/>
      <w:r>
        <w:t xml:space="preserve">Overview of </w:t>
      </w:r>
      <w:r w:rsidR="00AC6E39">
        <w:t xml:space="preserve">Strategic </w:t>
      </w:r>
      <w:r w:rsidR="00036D4A">
        <w:t>O</w:t>
      </w:r>
      <w:r w:rsidR="00AC6E39">
        <w:t xml:space="preserve">bjectives and </w:t>
      </w:r>
      <w:r w:rsidR="00036D4A">
        <w:t>A</w:t>
      </w:r>
      <w:r w:rsidR="00AC6E39">
        <w:t>ctions</w:t>
      </w:r>
      <w:bookmarkEnd w:id="45"/>
      <w:bookmarkEnd w:id="46"/>
    </w:p>
    <w:p w14:paraId="65340CE9" w14:textId="7058DF7F" w:rsidR="00144B9F" w:rsidRDefault="00DD1A09" w:rsidP="0087116C">
      <w:pPr>
        <w:spacing w:line="360" w:lineRule="auto"/>
        <w:rPr>
          <w:sz w:val="18"/>
        </w:rPr>
      </w:pPr>
      <w:r w:rsidRPr="00CA6319">
        <w:rPr>
          <w:sz w:val="18"/>
        </w:rPr>
        <w:t>JADD will pursue the following strategic objectives</w:t>
      </w:r>
      <w:r w:rsidR="00D71637" w:rsidRPr="00CA6319">
        <w:rPr>
          <w:sz w:val="18"/>
        </w:rPr>
        <w:t xml:space="preserve"> </w:t>
      </w:r>
      <w:r w:rsidR="00291BAA" w:rsidRPr="00CA6319">
        <w:rPr>
          <w:sz w:val="18"/>
        </w:rPr>
        <w:t>and actions</w:t>
      </w:r>
      <w:r w:rsidR="00836327">
        <w:rPr>
          <w:sz w:val="18"/>
        </w:rPr>
        <w:t xml:space="preserve"> in the period 2023 to 2026</w:t>
      </w:r>
      <w:r w:rsidRPr="00CA6319">
        <w:rPr>
          <w:sz w:val="18"/>
        </w:rPr>
        <w:t>:</w:t>
      </w:r>
    </w:p>
    <w:p w14:paraId="7DA02BAB" w14:textId="4C78C8E2" w:rsidR="00244CBD" w:rsidRPr="00581306" w:rsidRDefault="00144B9F" w:rsidP="00244CBD">
      <w:pPr>
        <w:pStyle w:val="Heading2"/>
        <w:rPr>
          <w:lang w:val="en-GB"/>
        </w:rPr>
      </w:pPr>
      <w:bookmarkStart w:id="47" w:name="_Toc124260280"/>
      <w:r w:rsidRPr="00144B9F">
        <w:t xml:space="preserve">Continue to </w:t>
      </w:r>
      <w:r w:rsidR="00C56114">
        <w:t xml:space="preserve">Provide and </w:t>
      </w:r>
      <w:r w:rsidR="006C09BE">
        <w:t>Enhance</w:t>
      </w:r>
      <w:r w:rsidRPr="00144B9F">
        <w:t xml:space="preserve"> Core Services</w:t>
      </w:r>
      <w:bookmarkEnd w:id="47"/>
      <w:r w:rsidRPr="00144B9F">
        <w:t xml:space="preserve"> </w:t>
      </w:r>
      <w:r w:rsidR="00244CBD">
        <w:t>to ensure that we reach all those who require our support.</w:t>
      </w:r>
    </w:p>
    <w:p w14:paraId="591C20AB" w14:textId="2C70AEDC" w:rsidR="00144B9F" w:rsidRPr="00144B9F" w:rsidRDefault="00144B9F" w:rsidP="00581306">
      <w:pPr>
        <w:spacing w:line="360" w:lineRule="auto"/>
        <w:rPr>
          <w:sz w:val="18"/>
          <w:lang w:val="en-GB"/>
        </w:rPr>
      </w:pPr>
      <w:r w:rsidRPr="00B34094">
        <w:rPr>
          <w:sz w:val="18"/>
        </w:rPr>
        <w:t xml:space="preserve">JADD will ensure that we are meeting the needs of the most vulnerable </w:t>
      </w:r>
      <w:r>
        <w:rPr>
          <w:sz w:val="18"/>
        </w:rPr>
        <w:t xml:space="preserve">individuals </w:t>
      </w:r>
      <w:r w:rsidR="000A2472">
        <w:rPr>
          <w:sz w:val="18"/>
        </w:rPr>
        <w:t>and</w:t>
      </w:r>
      <w:r>
        <w:rPr>
          <w:sz w:val="18"/>
        </w:rPr>
        <w:t xml:space="preserve"> </w:t>
      </w:r>
      <w:r w:rsidRPr="00B34094">
        <w:rPr>
          <w:sz w:val="18"/>
        </w:rPr>
        <w:t>families in a way t</w:t>
      </w:r>
      <w:r>
        <w:rPr>
          <w:sz w:val="18"/>
        </w:rPr>
        <w:t xml:space="preserve">hat </w:t>
      </w:r>
      <w:r w:rsidR="000A2472">
        <w:rPr>
          <w:sz w:val="18"/>
        </w:rPr>
        <w:t>addresses</w:t>
      </w:r>
      <w:r>
        <w:rPr>
          <w:sz w:val="18"/>
        </w:rPr>
        <w:t xml:space="preserve"> the risks </w:t>
      </w:r>
      <w:r w:rsidR="000A2472">
        <w:rPr>
          <w:sz w:val="18"/>
        </w:rPr>
        <w:t>and</w:t>
      </w:r>
      <w:r>
        <w:rPr>
          <w:sz w:val="18"/>
        </w:rPr>
        <w:t xml:space="preserve"> challenges </w:t>
      </w:r>
      <w:r w:rsidR="000A2472">
        <w:rPr>
          <w:sz w:val="18"/>
        </w:rPr>
        <w:t xml:space="preserve">associated </w:t>
      </w:r>
      <w:r>
        <w:rPr>
          <w:sz w:val="18"/>
        </w:rPr>
        <w:t>with substance use. JADD will aim to meet the holistic needs of individuals accessing our services, from our harm reduction to counselling and recovery supports</w:t>
      </w:r>
      <w:r w:rsidRPr="00B34094">
        <w:rPr>
          <w:sz w:val="18"/>
        </w:rPr>
        <w:t xml:space="preserve">. </w:t>
      </w:r>
      <w:r w:rsidR="006C09BE">
        <w:rPr>
          <w:sz w:val="18"/>
        </w:rPr>
        <w:t>There will also be a focus on ex</w:t>
      </w:r>
      <w:r w:rsidR="004D2EA8">
        <w:rPr>
          <w:sz w:val="18"/>
        </w:rPr>
        <w:t>panding services where appropriate, including</w:t>
      </w:r>
      <w:r w:rsidR="006C09BE">
        <w:rPr>
          <w:sz w:val="18"/>
        </w:rPr>
        <w:t xml:space="preserve"> </w:t>
      </w:r>
      <w:r w:rsidRPr="00144B9F">
        <w:rPr>
          <w:sz w:val="18"/>
        </w:rPr>
        <w:t>childcare</w:t>
      </w:r>
      <w:r>
        <w:rPr>
          <w:sz w:val="18"/>
          <w:lang w:val="en-GB"/>
        </w:rPr>
        <w:t xml:space="preserve"> </w:t>
      </w:r>
      <w:r w:rsidR="006C09BE">
        <w:rPr>
          <w:sz w:val="18"/>
        </w:rPr>
        <w:t>provision, so that more people, particularly lone mothers can be supported to access vital services.</w:t>
      </w:r>
    </w:p>
    <w:p w14:paraId="271E1624" w14:textId="7007C920" w:rsidR="00144B9F" w:rsidRPr="00144B9F" w:rsidRDefault="00144B9F" w:rsidP="00581306">
      <w:pPr>
        <w:pStyle w:val="Heading2"/>
        <w:rPr>
          <w:lang w:val="en-GB"/>
        </w:rPr>
      </w:pPr>
      <w:r w:rsidRPr="00144B9F">
        <w:t xml:space="preserve"> </w:t>
      </w:r>
      <w:bookmarkStart w:id="48" w:name="_Toc124260281"/>
      <w:r w:rsidR="006C09BE">
        <w:t xml:space="preserve">Further </w:t>
      </w:r>
      <w:r w:rsidRPr="00144B9F">
        <w:t>Develop Crack Cocaine</w:t>
      </w:r>
      <w:r w:rsidR="006C09BE">
        <w:t xml:space="preserve"> and </w:t>
      </w:r>
      <w:r w:rsidRPr="00144B9F">
        <w:t xml:space="preserve">Poly Drug </w:t>
      </w:r>
      <w:r w:rsidR="006C09BE">
        <w:t>R</w:t>
      </w:r>
      <w:r w:rsidRPr="00144B9F">
        <w:t>esponse</w:t>
      </w:r>
      <w:r w:rsidR="006C09BE">
        <w:t>s</w:t>
      </w:r>
      <w:bookmarkEnd w:id="48"/>
    </w:p>
    <w:p w14:paraId="48442AA2" w14:textId="2D1D0886" w:rsidR="00144B9F" w:rsidRPr="00144B9F" w:rsidRDefault="000A2472" w:rsidP="00581306">
      <w:pPr>
        <w:spacing w:line="360" w:lineRule="auto"/>
        <w:rPr>
          <w:sz w:val="18"/>
          <w:lang w:val="en-GB"/>
        </w:rPr>
      </w:pPr>
      <w:r>
        <w:rPr>
          <w:sz w:val="18"/>
        </w:rPr>
        <w:t>We will</w:t>
      </w:r>
      <w:r w:rsidR="006C09BE">
        <w:rPr>
          <w:sz w:val="18"/>
        </w:rPr>
        <w:t xml:space="preserve"> respond to </w:t>
      </w:r>
      <w:r>
        <w:rPr>
          <w:sz w:val="18"/>
        </w:rPr>
        <w:t xml:space="preserve">the </w:t>
      </w:r>
      <w:r w:rsidR="00474010">
        <w:rPr>
          <w:sz w:val="18"/>
        </w:rPr>
        <w:t xml:space="preserve">challenges posed by crack cocaine and poly drug use </w:t>
      </w:r>
      <w:r>
        <w:rPr>
          <w:sz w:val="18"/>
        </w:rPr>
        <w:t xml:space="preserve">by </w:t>
      </w:r>
      <w:r w:rsidR="00474010">
        <w:rPr>
          <w:sz w:val="18"/>
        </w:rPr>
        <w:t>provid</w:t>
      </w:r>
      <w:r>
        <w:rPr>
          <w:sz w:val="18"/>
        </w:rPr>
        <w:t>ing</w:t>
      </w:r>
      <w:r w:rsidR="00474010">
        <w:rPr>
          <w:sz w:val="18"/>
        </w:rPr>
        <w:t xml:space="preserve"> and enhanc</w:t>
      </w:r>
      <w:r>
        <w:rPr>
          <w:sz w:val="18"/>
        </w:rPr>
        <w:t>ing</w:t>
      </w:r>
      <w:r w:rsidR="00474010">
        <w:rPr>
          <w:sz w:val="18"/>
        </w:rPr>
        <w:t xml:space="preserve"> </w:t>
      </w:r>
      <w:r>
        <w:rPr>
          <w:sz w:val="18"/>
        </w:rPr>
        <w:t>the new</w:t>
      </w:r>
      <w:r w:rsidR="00474010">
        <w:rPr>
          <w:sz w:val="18"/>
        </w:rPr>
        <w:t xml:space="preserve"> </w:t>
      </w:r>
      <w:r w:rsidR="00144B9F" w:rsidRPr="00144B9F">
        <w:rPr>
          <w:sz w:val="18"/>
        </w:rPr>
        <w:t>crack-cocaine assertive outreach services</w:t>
      </w:r>
      <w:r w:rsidR="00474010">
        <w:rPr>
          <w:sz w:val="18"/>
        </w:rPr>
        <w:t xml:space="preserve">. </w:t>
      </w:r>
      <w:r>
        <w:rPr>
          <w:sz w:val="18"/>
        </w:rPr>
        <w:t>I</w:t>
      </w:r>
      <w:r w:rsidR="00474010">
        <w:rPr>
          <w:sz w:val="18"/>
        </w:rPr>
        <w:t>n collaboration</w:t>
      </w:r>
      <w:r w:rsidR="00144B9F" w:rsidRPr="00144B9F">
        <w:rPr>
          <w:sz w:val="18"/>
        </w:rPr>
        <w:t xml:space="preserve"> with referral agents</w:t>
      </w:r>
      <w:r w:rsidR="00474010">
        <w:rPr>
          <w:sz w:val="18"/>
        </w:rPr>
        <w:t xml:space="preserve"> and the TD</w:t>
      </w:r>
      <w:r w:rsidR="004D2EA8">
        <w:rPr>
          <w:sz w:val="18"/>
        </w:rPr>
        <w:t>A</w:t>
      </w:r>
      <w:r w:rsidR="00474010">
        <w:rPr>
          <w:sz w:val="18"/>
        </w:rPr>
        <w:t>TF</w:t>
      </w:r>
      <w:r>
        <w:rPr>
          <w:sz w:val="18"/>
        </w:rPr>
        <w:t xml:space="preserve">, we will also </w:t>
      </w:r>
      <w:r w:rsidR="00474010">
        <w:rPr>
          <w:sz w:val="18"/>
        </w:rPr>
        <w:t>revie</w:t>
      </w:r>
      <w:r>
        <w:rPr>
          <w:sz w:val="18"/>
        </w:rPr>
        <w:t xml:space="preserve">w the programme </w:t>
      </w:r>
      <w:r w:rsidR="00474010">
        <w:rPr>
          <w:sz w:val="18"/>
        </w:rPr>
        <w:t>to</w:t>
      </w:r>
      <w:r w:rsidR="00144B9F" w:rsidRPr="00144B9F">
        <w:rPr>
          <w:sz w:val="18"/>
        </w:rPr>
        <w:t xml:space="preserve"> </w:t>
      </w:r>
      <w:r>
        <w:rPr>
          <w:sz w:val="18"/>
        </w:rPr>
        <w:t xml:space="preserve">assess </w:t>
      </w:r>
      <w:r w:rsidR="00474010">
        <w:rPr>
          <w:sz w:val="18"/>
        </w:rPr>
        <w:t xml:space="preserve">its </w:t>
      </w:r>
      <w:r w:rsidR="00144B9F" w:rsidRPr="00144B9F">
        <w:rPr>
          <w:sz w:val="18"/>
        </w:rPr>
        <w:t xml:space="preserve">effectiveness, </w:t>
      </w:r>
      <w:r w:rsidR="00474010">
        <w:rPr>
          <w:sz w:val="18"/>
        </w:rPr>
        <w:t xml:space="preserve">to identify </w:t>
      </w:r>
      <w:r w:rsidR="00144B9F" w:rsidRPr="00144B9F">
        <w:rPr>
          <w:sz w:val="18"/>
        </w:rPr>
        <w:t xml:space="preserve">improvements and to engage funders in a </w:t>
      </w:r>
      <w:r>
        <w:rPr>
          <w:sz w:val="18"/>
        </w:rPr>
        <w:t xml:space="preserve">developing a </w:t>
      </w:r>
      <w:r w:rsidR="00144B9F" w:rsidRPr="00144B9F">
        <w:rPr>
          <w:sz w:val="18"/>
        </w:rPr>
        <w:t>plan for its continuation.</w:t>
      </w:r>
    </w:p>
    <w:p w14:paraId="7A247498" w14:textId="18D4A7EC" w:rsidR="00144B9F" w:rsidRPr="00144B9F" w:rsidRDefault="00144B9F" w:rsidP="00581306">
      <w:pPr>
        <w:pStyle w:val="Heading2"/>
        <w:rPr>
          <w:lang w:val="en-GB"/>
        </w:rPr>
      </w:pPr>
      <w:bookmarkStart w:id="49" w:name="_Toc124260282"/>
      <w:r>
        <w:t xml:space="preserve">Explore </w:t>
      </w:r>
      <w:r w:rsidR="004C41DB">
        <w:t xml:space="preserve">Social Enterprise &amp; Other Options </w:t>
      </w:r>
      <w:r>
        <w:t xml:space="preserve">to Enhance </w:t>
      </w:r>
      <w:r w:rsidR="004C41DB">
        <w:t>Client Progression</w:t>
      </w:r>
      <w:bookmarkEnd w:id="49"/>
    </w:p>
    <w:p w14:paraId="240E92CB" w14:textId="61BB705F" w:rsidR="00144B9F" w:rsidRPr="00144B9F" w:rsidRDefault="00474010" w:rsidP="00581306">
      <w:pPr>
        <w:spacing w:line="360" w:lineRule="auto"/>
        <w:rPr>
          <w:sz w:val="18"/>
          <w:lang w:val="en-GB"/>
        </w:rPr>
      </w:pPr>
      <w:r>
        <w:rPr>
          <w:sz w:val="18"/>
        </w:rPr>
        <w:t>Local people in recovery from drug misuse need</w:t>
      </w:r>
      <w:r w:rsidR="00CE3D84">
        <w:rPr>
          <w:sz w:val="18"/>
        </w:rPr>
        <w:t xml:space="preserve"> a variety of pathways</w:t>
      </w:r>
      <w:r w:rsidR="003A4F9A">
        <w:rPr>
          <w:sz w:val="18"/>
        </w:rPr>
        <w:t xml:space="preserve"> into education and employment. JADD will play a role supporting the exploration of whether WISE can be developed locally to enhance progression options. To do this</w:t>
      </w:r>
      <w:r w:rsidR="00C56114">
        <w:rPr>
          <w:sz w:val="18"/>
        </w:rPr>
        <w:t xml:space="preserve"> we</w:t>
      </w:r>
      <w:r w:rsidR="003A4F9A">
        <w:rPr>
          <w:sz w:val="18"/>
        </w:rPr>
        <w:t xml:space="preserve"> </w:t>
      </w:r>
      <w:r w:rsidR="00C56114">
        <w:rPr>
          <w:sz w:val="18"/>
        </w:rPr>
        <w:t xml:space="preserve">support the </w:t>
      </w:r>
      <w:r w:rsidR="003A4F9A">
        <w:rPr>
          <w:sz w:val="18"/>
        </w:rPr>
        <w:t>e</w:t>
      </w:r>
      <w:r w:rsidR="00144B9F" w:rsidRPr="00144B9F">
        <w:rPr>
          <w:sz w:val="18"/>
        </w:rPr>
        <w:t>stablish</w:t>
      </w:r>
      <w:r w:rsidR="00C56114">
        <w:rPr>
          <w:sz w:val="18"/>
        </w:rPr>
        <w:t>ment of</w:t>
      </w:r>
      <w:r w:rsidR="004D2EA8">
        <w:rPr>
          <w:sz w:val="18"/>
        </w:rPr>
        <w:t xml:space="preserve"> a</w:t>
      </w:r>
      <w:r w:rsidR="00144B9F" w:rsidRPr="00144B9F">
        <w:rPr>
          <w:sz w:val="18"/>
        </w:rPr>
        <w:t xml:space="preserve"> steering group t</w:t>
      </w:r>
      <w:r w:rsidR="00C56114">
        <w:rPr>
          <w:sz w:val="18"/>
        </w:rPr>
        <w:t>hat will explore</w:t>
      </w:r>
      <w:r w:rsidR="003A4F9A">
        <w:rPr>
          <w:sz w:val="18"/>
        </w:rPr>
        <w:t xml:space="preserve"> </w:t>
      </w:r>
      <w:r w:rsidR="00144B9F" w:rsidRPr="00144B9F">
        <w:rPr>
          <w:sz w:val="18"/>
        </w:rPr>
        <w:t xml:space="preserve">how </w:t>
      </w:r>
      <w:r w:rsidR="003A4F9A">
        <w:rPr>
          <w:sz w:val="18"/>
        </w:rPr>
        <w:t xml:space="preserve">a local WISE could </w:t>
      </w:r>
      <w:r w:rsidR="00C56114">
        <w:rPr>
          <w:sz w:val="18"/>
        </w:rPr>
        <w:t xml:space="preserve">work </w:t>
      </w:r>
      <w:r w:rsidR="003A4F9A">
        <w:rPr>
          <w:sz w:val="18"/>
        </w:rPr>
        <w:t xml:space="preserve">and </w:t>
      </w:r>
      <w:r w:rsidR="00144B9F" w:rsidRPr="00144B9F">
        <w:rPr>
          <w:sz w:val="18"/>
        </w:rPr>
        <w:t xml:space="preserve">what business activities it could undertake. If agreed as a local priority, </w:t>
      </w:r>
      <w:r w:rsidR="001D0D25">
        <w:rPr>
          <w:sz w:val="18"/>
        </w:rPr>
        <w:t xml:space="preserve">JADD will support </w:t>
      </w:r>
      <w:r w:rsidR="00C56114">
        <w:rPr>
          <w:sz w:val="18"/>
        </w:rPr>
        <w:t xml:space="preserve">the </w:t>
      </w:r>
      <w:r w:rsidR="001D0D25">
        <w:rPr>
          <w:sz w:val="18"/>
        </w:rPr>
        <w:t>application</w:t>
      </w:r>
      <w:r w:rsidR="00C56114">
        <w:rPr>
          <w:sz w:val="18"/>
        </w:rPr>
        <w:t xml:space="preserve"> process</w:t>
      </w:r>
      <w:r w:rsidR="001D0D25">
        <w:rPr>
          <w:sz w:val="18"/>
        </w:rPr>
        <w:t xml:space="preserve"> </w:t>
      </w:r>
      <w:r w:rsidR="00144B9F" w:rsidRPr="00144B9F">
        <w:rPr>
          <w:sz w:val="18"/>
        </w:rPr>
        <w:t>for a feasibility study to be funded through Kickstart</w:t>
      </w:r>
      <w:r w:rsidR="001D0D25">
        <w:rPr>
          <w:sz w:val="18"/>
        </w:rPr>
        <w:t xml:space="preserve"> or a similar</w:t>
      </w:r>
      <w:r w:rsidR="00144B9F" w:rsidRPr="00144B9F">
        <w:rPr>
          <w:sz w:val="18"/>
        </w:rPr>
        <w:t xml:space="preserve"> programme</w:t>
      </w:r>
      <w:r w:rsidR="001D0D25">
        <w:rPr>
          <w:sz w:val="18"/>
        </w:rPr>
        <w:t>.</w:t>
      </w:r>
      <w:r w:rsidR="004C41DB">
        <w:rPr>
          <w:sz w:val="18"/>
        </w:rPr>
        <w:t xml:space="preserve"> Additionally JADD will work with local partners to assess the gaps in progression pathways for local people looking to access rehabilitation and develop responses to these gaps.</w:t>
      </w:r>
    </w:p>
    <w:p w14:paraId="5E223163" w14:textId="552ADE2A" w:rsidR="00144B9F" w:rsidRPr="00144B9F" w:rsidRDefault="00620F35" w:rsidP="00581306">
      <w:pPr>
        <w:pStyle w:val="Heading2"/>
        <w:rPr>
          <w:lang w:val="en-GB"/>
        </w:rPr>
      </w:pPr>
      <w:bookmarkStart w:id="50" w:name="_Toc124260283"/>
      <w:bookmarkStart w:id="51" w:name="_Hlk125016573"/>
      <w:r>
        <w:t>Work with Partners to Ensure Programme Sustainability</w:t>
      </w:r>
      <w:bookmarkEnd w:id="50"/>
      <w:r>
        <w:t xml:space="preserve"> </w:t>
      </w:r>
    </w:p>
    <w:bookmarkEnd w:id="51"/>
    <w:p w14:paraId="4B716503" w14:textId="1AB7FA38" w:rsidR="005A7219" w:rsidRDefault="000D6512" w:rsidP="00244CBD">
      <w:pPr>
        <w:spacing w:line="360" w:lineRule="auto"/>
      </w:pPr>
      <w:r>
        <w:rPr>
          <w:sz w:val="18"/>
        </w:rPr>
        <w:t>I</w:t>
      </w:r>
      <w:r w:rsidR="003A4F9A">
        <w:rPr>
          <w:sz w:val="18"/>
        </w:rPr>
        <w:t xml:space="preserve">ncreased </w:t>
      </w:r>
      <w:r w:rsidR="001D0D25">
        <w:rPr>
          <w:sz w:val="18"/>
        </w:rPr>
        <w:t>work complexity and quality assurance requirements</w:t>
      </w:r>
      <w:r w:rsidR="008760DC">
        <w:rPr>
          <w:sz w:val="18"/>
        </w:rPr>
        <w:t xml:space="preserve"> </w:t>
      </w:r>
      <w:r w:rsidR="00F037E4">
        <w:rPr>
          <w:sz w:val="18"/>
        </w:rPr>
        <w:t xml:space="preserve">mean that a </w:t>
      </w:r>
      <w:r>
        <w:rPr>
          <w:sz w:val="18"/>
        </w:rPr>
        <w:t xml:space="preserve">core </w:t>
      </w:r>
      <w:r w:rsidR="00F037E4">
        <w:rPr>
          <w:sz w:val="18"/>
        </w:rPr>
        <w:t xml:space="preserve">staff complement </w:t>
      </w:r>
      <w:r w:rsidR="00144B9F" w:rsidRPr="00144B9F">
        <w:rPr>
          <w:sz w:val="18"/>
        </w:rPr>
        <w:t xml:space="preserve">with </w:t>
      </w:r>
      <w:r>
        <w:rPr>
          <w:sz w:val="18"/>
        </w:rPr>
        <w:t xml:space="preserve">relevant qualifications and experience is required to ensure </w:t>
      </w:r>
      <w:r w:rsidR="00C56114">
        <w:rPr>
          <w:sz w:val="18"/>
        </w:rPr>
        <w:t xml:space="preserve">high </w:t>
      </w:r>
      <w:r>
        <w:rPr>
          <w:sz w:val="18"/>
        </w:rPr>
        <w:t xml:space="preserve">quality of service provision. To </w:t>
      </w:r>
      <w:r w:rsidR="00C56114">
        <w:rPr>
          <w:sz w:val="18"/>
        </w:rPr>
        <w:t xml:space="preserve">support </w:t>
      </w:r>
      <w:r>
        <w:rPr>
          <w:sz w:val="18"/>
        </w:rPr>
        <w:t xml:space="preserve">sustainability the board </w:t>
      </w:r>
      <w:r w:rsidR="00C56114">
        <w:rPr>
          <w:sz w:val="18"/>
        </w:rPr>
        <w:t xml:space="preserve">will </w:t>
      </w:r>
      <w:r>
        <w:rPr>
          <w:sz w:val="18"/>
        </w:rPr>
        <w:t xml:space="preserve">work with funders to </w:t>
      </w:r>
      <w:r w:rsidR="00144B9F" w:rsidRPr="00144B9F">
        <w:rPr>
          <w:sz w:val="18"/>
        </w:rPr>
        <w:t xml:space="preserve">ensure </w:t>
      </w:r>
      <w:r>
        <w:rPr>
          <w:sz w:val="18"/>
        </w:rPr>
        <w:t xml:space="preserve">that there are </w:t>
      </w:r>
      <w:r w:rsidR="00144B9F" w:rsidRPr="00144B9F">
        <w:rPr>
          <w:sz w:val="18"/>
        </w:rPr>
        <w:t xml:space="preserve">permanent funding streams in place for </w:t>
      </w:r>
      <w:r>
        <w:rPr>
          <w:sz w:val="18"/>
        </w:rPr>
        <w:t xml:space="preserve">all </w:t>
      </w:r>
      <w:r w:rsidR="00C56114">
        <w:rPr>
          <w:sz w:val="18"/>
        </w:rPr>
        <w:t>c</w:t>
      </w:r>
      <w:r>
        <w:rPr>
          <w:sz w:val="18"/>
        </w:rPr>
        <w:t>ore programme</w:t>
      </w:r>
      <w:r w:rsidR="00C56114">
        <w:rPr>
          <w:sz w:val="18"/>
        </w:rPr>
        <w:t xml:space="preserve">s, as well as the </w:t>
      </w:r>
      <w:r>
        <w:rPr>
          <w:sz w:val="18"/>
        </w:rPr>
        <w:t xml:space="preserve">developing </w:t>
      </w:r>
      <w:r w:rsidR="00C56114">
        <w:rPr>
          <w:sz w:val="18"/>
        </w:rPr>
        <w:t>c</w:t>
      </w:r>
      <w:r w:rsidR="00144B9F" w:rsidRPr="00144B9F">
        <w:rPr>
          <w:sz w:val="18"/>
        </w:rPr>
        <w:t xml:space="preserve">rack </w:t>
      </w:r>
      <w:r w:rsidR="00C56114">
        <w:rPr>
          <w:sz w:val="18"/>
        </w:rPr>
        <w:t>c</w:t>
      </w:r>
      <w:r w:rsidR="00144B9F" w:rsidRPr="00144B9F">
        <w:rPr>
          <w:sz w:val="18"/>
        </w:rPr>
        <w:t>ocaine</w:t>
      </w:r>
      <w:r>
        <w:rPr>
          <w:sz w:val="18"/>
        </w:rPr>
        <w:t xml:space="preserve"> programme.</w:t>
      </w:r>
      <w:r w:rsidR="00144B9F" w:rsidRPr="00144B9F">
        <w:rPr>
          <w:sz w:val="18"/>
        </w:rPr>
        <w:t xml:space="preserve"> </w:t>
      </w:r>
    </w:p>
    <w:p w14:paraId="1754F889" w14:textId="456AE773" w:rsidR="005A7219" w:rsidRDefault="00ED4FF8" w:rsidP="005A7219">
      <w:pPr>
        <w:pStyle w:val="Heading3"/>
      </w:pPr>
      <w:r w:rsidRPr="00ED4FF8">
        <w:rPr>
          <w:b/>
          <w:bCs w:val="0"/>
          <w:sz w:val="24"/>
          <w:szCs w:val="24"/>
        </w:rPr>
        <w:t>4.5</w:t>
      </w:r>
      <w:r w:rsidR="005A7219" w:rsidRPr="00ED4FF8">
        <w:rPr>
          <w:sz w:val="24"/>
          <w:szCs w:val="24"/>
        </w:rPr>
        <w:t xml:space="preserve">  </w:t>
      </w:r>
      <w:r>
        <w:rPr>
          <w:sz w:val="24"/>
          <w:szCs w:val="24"/>
        </w:rPr>
        <w:t xml:space="preserve"> </w:t>
      </w:r>
      <w:r w:rsidR="0005723E" w:rsidRPr="00ED4FF8">
        <w:rPr>
          <w:b/>
          <w:bCs w:val="0"/>
          <w:color w:val="31849B"/>
          <w:sz w:val="24"/>
          <w:szCs w:val="24"/>
        </w:rPr>
        <w:t xml:space="preserve">Attract, </w:t>
      </w:r>
      <w:r w:rsidR="00F07B4B" w:rsidRPr="00ED4FF8">
        <w:rPr>
          <w:b/>
          <w:bCs w:val="0"/>
          <w:color w:val="31849B"/>
          <w:sz w:val="24"/>
          <w:szCs w:val="24"/>
        </w:rPr>
        <w:t>develop</w:t>
      </w:r>
      <w:r w:rsidR="0005723E" w:rsidRPr="00ED4FF8">
        <w:rPr>
          <w:b/>
          <w:bCs w:val="0"/>
          <w:color w:val="31849B"/>
          <w:sz w:val="24"/>
          <w:szCs w:val="24"/>
        </w:rPr>
        <w:t xml:space="preserve"> and retain a highly committed </w:t>
      </w:r>
      <w:r w:rsidR="004128A3" w:rsidRPr="00ED4FF8">
        <w:rPr>
          <w:b/>
          <w:bCs w:val="0"/>
          <w:color w:val="31849B"/>
          <w:sz w:val="24"/>
          <w:szCs w:val="24"/>
        </w:rPr>
        <w:t>workforce</w:t>
      </w:r>
      <w:r w:rsidR="0005723E">
        <w:t xml:space="preserve"> </w:t>
      </w:r>
      <w:r w:rsidR="005A7219">
        <w:t xml:space="preserve"> </w:t>
      </w:r>
    </w:p>
    <w:p w14:paraId="207CB1D6" w14:textId="3CA7E428" w:rsidR="005A7219" w:rsidRDefault="005A7219" w:rsidP="004D3AFE">
      <w:pPr>
        <w:pStyle w:val="Heading3"/>
        <w:rPr>
          <w:sz w:val="18"/>
        </w:rPr>
      </w:pPr>
      <w:r w:rsidRPr="00E621FD">
        <w:rPr>
          <w:rFonts w:eastAsia="Century Gothic" w:cs="Century Gothic"/>
          <w:bCs w:val="0"/>
          <w:color w:val="auto"/>
          <w:sz w:val="18"/>
          <w:szCs w:val="18"/>
        </w:rPr>
        <w:t xml:space="preserve">Without the continued commitment of our </w:t>
      </w:r>
      <w:r w:rsidR="00F07B4B" w:rsidRPr="00E621FD">
        <w:rPr>
          <w:rFonts w:eastAsia="Century Gothic" w:cs="Century Gothic"/>
          <w:bCs w:val="0"/>
          <w:color w:val="auto"/>
          <w:sz w:val="18"/>
          <w:szCs w:val="18"/>
        </w:rPr>
        <w:t>people,</w:t>
      </w:r>
      <w:r w:rsidRPr="00E621FD">
        <w:rPr>
          <w:rFonts w:eastAsia="Century Gothic" w:cs="Century Gothic"/>
          <w:bCs w:val="0"/>
          <w:color w:val="auto"/>
          <w:sz w:val="18"/>
          <w:szCs w:val="18"/>
        </w:rPr>
        <w:t xml:space="preserve"> we will not be successful.  We will continue to ensure that we have a working culture which ensures that our staff feel safe and valued in their roles and that </w:t>
      </w:r>
      <w:r w:rsidR="00F07B4B" w:rsidRPr="00E621FD">
        <w:rPr>
          <w:rFonts w:eastAsia="Century Gothic" w:cs="Century Gothic"/>
          <w:bCs w:val="0"/>
          <w:color w:val="auto"/>
          <w:sz w:val="18"/>
          <w:szCs w:val="18"/>
        </w:rPr>
        <w:t>they have</w:t>
      </w:r>
      <w:r w:rsidRPr="00E621FD">
        <w:rPr>
          <w:rFonts w:eastAsia="Century Gothic" w:cs="Century Gothic"/>
          <w:bCs w:val="0"/>
          <w:color w:val="auto"/>
          <w:sz w:val="18"/>
          <w:szCs w:val="18"/>
        </w:rPr>
        <w:t xml:space="preserve"> relevant training and development plans in place</w:t>
      </w:r>
      <w:r w:rsidR="00E621FD">
        <w:rPr>
          <w:rFonts w:eastAsia="Century Gothic" w:cs="Century Gothic"/>
          <w:bCs w:val="0"/>
          <w:color w:val="auto"/>
          <w:sz w:val="18"/>
          <w:szCs w:val="18"/>
        </w:rPr>
        <w:t>.</w:t>
      </w:r>
    </w:p>
    <w:p w14:paraId="1599EFD6" w14:textId="77777777" w:rsidR="00971D5B" w:rsidRDefault="00971D5B" w:rsidP="00581306">
      <w:pPr>
        <w:spacing w:line="360" w:lineRule="auto"/>
        <w:rPr>
          <w:rFonts w:eastAsia="MS Gothic" w:cstheme="majorBidi"/>
          <w:b/>
          <w:color w:val="215868"/>
          <w:sz w:val="32"/>
          <w:szCs w:val="32"/>
        </w:rPr>
      </w:pPr>
      <w:r>
        <w:br w:type="page"/>
      </w:r>
    </w:p>
    <w:p w14:paraId="158258D3" w14:textId="4F722867" w:rsidR="00340472" w:rsidRPr="00DB4D97" w:rsidRDefault="00340472" w:rsidP="0087116C">
      <w:pPr>
        <w:pStyle w:val="Heading1"/>
      </w:pPr>
      <w:bookmarkStart w:id="52" w:name="_Toc124260284"/>
      <w:bookmarkStart w:id="53" w:name="_Toc124260285"/>
      <w:bookmarkStart w:id="54" w:name="_Toc124260286"/>
      <w:bookmarkStart w:id="55" w:name="_Toc124260287"/>
      <w:bookmarkStart w:id="56" w:name="_Toc124260288"/>
      <w:bookmarkStart w:id="57" w:name="_Toc124260289"/>
      <w:bookmarkStart w:id="58" w:name="_Toc124260290"/>
      <w:bookmarkStart w:id="59" w:name="_Toc124260291"/>
      <w:bookmarkStart w:id="60" w:name="_Toc124260292"/>
      <w:bookmarkStart w:id="61" w:name="_Toc124260293"/>
      <w:bookmarkStart w:id="62" w:name="_Toc117669700"/>
      <w:bookmarkStart w:id="63" w:name="_Toc124260294"/>
      <w:bookmarkEnd w:id="52"/>
      <w:bookmarkEnd w:id="53"/>
      <w:bookmarkEnd w:id="54"/>
      <w:bookmarkEnd w:id="55"/>
      <w:bookmarkEnd w:id="56"/>
      <w:bookmarkEnd w:id="57"/>
      <w:bookmarkEnd w:id="58"/>
      <w:bookmarkEnd w:id="59"/>
      <w:bookmarkEnd w:id="60"/>
      <w:bookmarkEnd w:id="61"/>
      <w:r w:rsidRPr="00DB4D97">
        <w:t>Strategic Actions</w:t>
      </w:r>
      <w:bookmarkEnd w:id="62"/>
      <w:bookmarkEnd w:id="63"/>
      <w:r w:rsidRPr="00DB4D97">
        <w:t xml:space="preserve"> </w:t>
      </w:r>
    </w:p>
    <w:p w14:paraId="449662C8" w14:textId="6FB488A8" w:rsidR="00472281" w:rsidRPr="00581306" w:rsidRDefault="00C56114" w:rsidP="0087116C">
      <w:pPr>
        <w:pStyle w:val="Heading2"/>
        <w:rPr>
          <w:lang w:val="en-GB"/>
        </w:rPr>
      </w:pPr>
      <w:bookmarkStart w:id="64" w:name="_Toc117669701"/>
      <w:bookmarkStart w:id="65" w:name="_Toc124260295"/>
      <w:r w:rsidRPr="00144B9F">
        <w:t xml:space="preserve">Continue to </w:t>
      </w:r>
      <w:r>
        <w:t>Provide and Enhance</w:t>
      </w:r>
      <w:r w:rsidRPr="00144B9F">
        <w:t xml:space="preserve"> Core Services</w:t>
      </w:r>
      <w:bookmarkEnd w:id="64"/>
      <w:bookmarkEnd w:id="65"/>
      <w:r w:rsidR="00117685">
        <w:t xml:space="preserve"> to ensure that we reach all </w:t>
      </w:r>
      <w:r w:rsidR="00861BB9">
        <w:t xml:space="preserve">those </w:t>
      </w:r>
      <w:r w:rsidR="00117685">
        <w:t>who require our</w:t>
      </w:r>
      <w:r w:rsidR="00173CB8">
        <w:t xml:space="preserve"> </w:t>
      </w:r>
      <w:r w:rsidR="00EF35D0">
        <w:t>support.</w:t>
      </w:r>
    </w:p>
    <w:p w14:paraId="58585B1C" w14:textId="5806F9BE" w:rsidR="000E63BE" w:rsidRPr="00310F22" w:rsidRDefault="009F589F" w:rsidP="0087116C">
      <w:pPr>
        <w:pStyle w:val="Heading3"/>
      </w:pPr>
      <w:bookmarkStart w:id="66" w:name="_Toc117669522"/>
      <w:bookmarkStart w:id="67" w:name="_Toc117669665"/>
      <w:bookmarkStart w:id="68" w:name="_Toc117669702"/>
      <w:bookmarkEnd w:id="66"/>
      <w:bookmarkEnd w:id="67"/>
      <w:r>
        <w:t xml:space="preserve">5.1.1 </w:t>
      </w:r>
      <w:r w:rsidR="00340472" w:rsidRPr="00310F22">
        <w:t>Action</w:t>
      </w:r>
      <w:r w:rsidR="007F77CE" w:rsidRPr="00310F22">
        <w:t xml:space="preserve"> </w:t>
      </w:r>
      <w:r w:rsidR="003A3931" w:rsidRPr="00310F22">
        <w:t>1</w:t>
      </w:r>
      <w:r w:rsidR="00467104" w:rsidRPr="00310F22">
        <w:t xml:space="preserve">: </w:t>
      </w:r>
      <w:r w:rsidR="00971D5B">
        <w:t>Provide easier access routes for low threshold clients to access primary health care</w:t>
      </w:r>
      <w:bookmarkEnd w:id="68"/>
    </w:p>
    <w:tbl>
      <w:tblPr>
        <w:tblStyle w:val="5"/>
        <w:tblW w:w="921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620F35" w:rsidRPr="001D4D71" w14:paraId="13ED4F86" w14:textId="77777777" w:rsidTr="00581306">
        <w:trPr>
          <w:trHeight w:val="921"/>
        </w:trPr>
        <w:tc>
          <w:tcPr>
            <w:tcW w:w="9214" w:type="dxa"/>
            <w:shd w:val="clear" w:color="auto" w:fill="auto"/>
            <w:tcMar>
              <w:top w:w="100" w:type="dxa"/>
              <w:left w:w="100" w:type="dxa"/>
              <w:bottom w:w="100" w:type="dxa"/>
              <w:right w:w="100" w:type="dxa"/>
            </w:tcMar>
          </w:tcPr>
          <w:p w14:paraId="7748E1AD" w14:textId="29F269AF" w:rsidR="00620F35" w:rsidRPr="000941A9" w:rsidRDefault="00620F35" w:rsidP="0087116C">
            <w:pPr>
              <w:spacing w:line="360" w:lineRule="auto"/>
            </w:pPr>
            <w:r w:rsidRPr="005D60AB">
              <w:rPr>
                <w:sz w:val="18"/>
              </w:rPr>
              <w:t>Invite Safetynet to</w:t>
            </w:r>
            <w:r>
              <w:rPr>
                <w:sz w:val="18"/>
              </w:rPr>
              <w:t xml:space="preserve"> run an</w:t>
            </w:r>
            <w:r w:rsidRPr="005D60AB">
              <w:rPr>
                <w:sz w:val="18"/>
              </w:rPr>
              <w:t xml:space="preserve"> onsite </w:t>
            </w:r>
            <w:r>
              <w:rPr>
                <w:sz w:val="18"/>
              </w:rPr>
              <w:t xml:space="preserve">clinic </w:t>
            </w:r>
            <w:r w:rsidRPr="005D60AB">
              <w:rPr>
                <w:sz w:val="18"/>
              </w:rPr>
              <w:t xml:space="preserve">every </w:t>
            </w:r>
            <w:r w:rsidR="009F589F">
              <w:rPr>
                <w:sz w:val="18"/>
              </w:rPr>
              <w:t>4</w:t>
            </w:r>
            <w:r w:rsidRPr="005D60AB">
              <w:rPr>
                <w:sz w:val="18"/>
              </w:rPr>
              <w:t xml:space="preserve"> weeks. Clients will be engaged through social</w:t>
            </w:r>
            <w:r>
              <w:rPr>
                <w:sz w:val="18"/>
              </w:rPr>
              <w:t xml:space="preserve"> </w:t>
            </w:r>
            <w:r w:rsidRPr="005D60AB">
              <w:rPr>
                <w:sz w:val="18"/>
              </w:rPr>
              <w:t>evening</w:t>
            </w:r>
            <w:r>
              <w:rPr>
                <w:sz w:val="18"/>
              </w:rPr>
              <w:t xml:space="preserve"> events,</w:t>
            </w:r>
            <w:r w:rsidRPr="005D60AB">
              <w:rPr>
                <w:sz w:val="18"/>
              </w:rPr>
              <w:t xml:space="preserve"> while the </w:t>
            </w:r>
            <w:r>
              <w:rPr>
                <w:sz w:val="18"/>
              </w:rPr>
              <w:t xml:space="preserve">mobile health </w:t>
            </w:r>
            <w:r w:rsidRPr="005D60AB">
              <w:rPr>
                <w:sz w:val="18"/>
              </w:rPr>
              <w:t>service is onsite. This service will aim to support clients to have their primary care needs meet.</w:t>
            </w:r>
            <w:r>
              <w:rPr>
                <w:sz w:val="18"/>
              </w:rPr>
              <w:t xml:space="preserve"> </w:t>
            </w:r>
          </w:p>
        </w:tc>
      </w:tr>
      <w:tr w:rsidR="00971D5B" w:rsidRPr="001D4D71" w14:paraId="407AF4AC" w14:textId="77777777" w:rsidTr="00581306">
        <w:trPr>
          <w:trHeight w:val="507"/>
        </w:trPr>
        <w:tc>
          <w:tcPr>
            <w:tcW w:w="9214" w:type="dxa"/>
            <w:shd w:val="clear" w:color="auto" w:fill="auto"/>
            <w:tcMar>
              <w:top w:w="100" w:type="dxa"/>
              <w:left w:w="100" w:type="dxa"/>
              <w:bottom w:w="100" w:type="dxa"/>
              <w:right w:w="100" w:type="dxa"/>
            </w:tcMar>
          </w:tcPr>
          <w:p w14:paraId="18FD177E" w14:textId="59A3BF9B" w:rsidR="00971D5B" w:rsidRPr="005D60AB" w:rsidRDefault="0087116C" w:rsidP="0087116C">
            <w:pPr>
              <w:spacing w:line="360" w:lineRule="auto"/>
              <w:rPr>
                <w:sz w:val="18"/>
              </w:rPr>
            </w:pPr>
            <w:r>
              <w:rPr>
                <w:sz w:val="18"/>
              </w:rPr>
              <w:t>A</w:t>
            </w:r>
            <w:r w:rsidR="00971D5B">
              <w:rPr>
                <w:sz w:val="18"/>
              </w:rPr>
              <w:t>gree an MOU with Safteynet. This MOU will need to identify a core data set which will show outcomes of this service.</w:t>
            </w:r>
          </w:p>
        </w:tc>
      </w:tr>
    </w:tbl>
    <w:p w14:paraId="66E485AC" w14:textId="77777777" w:rsidR="00472281" w:rsidRPr="001D4D71" w:rsidRDefault="00472281" w:rsidP="0087116C">
      <w:pPr>
        <w:spacing w:after="0" w:line="360" w:lineRule="auto"/>
        <w:rPr>
          <w:sz w:val="18"/>
        </w:rPr>
      </w:pPr>
    </w:p>
    <w:p w14:paraId="67E9118A" w14:textId="77777777" w:rsidR="00472281" w:rsidRPr="001D4D71" w:rsidRDefault="007F77CE" w:rsidP="0087116C">
      <w:pPr>
        <w:spacing w:after="0" w:line="360" w:lineRule="auto"/>
        <w:rPr>
          <w:b/>
          <w:sz w:val="18"/>
        </w:rPr>
      </w:pPr>
      <w:r w:rsidRPr="001D4D71">
        <w:rPr>
          <w:b/>
          <w:sz w:val="18"/>
        </w:rPr>
        <w:t>Key Performance Indicators (How we will know we have been successful)</w:t>
      </w:r>
    </w:p>
    <w:p w14:paraId="556E0904" w14:textId="2367C09D" w:rsidR="00971D5B" w:rsidRPr="00581306" w:rsidRDefault="00971D5B" w:rsidP="00581306">
      <w:pPr>
        <w:pStyle w:val="ListParagraph"/>
        <w:numPr>
          <w:ilvl w:val="0"/>
          <w:numId w:val="44"/>
        </w:numPr>
        <w:spacing w:line="360" w:lineRule="auto"/>
        <w:rPr>
          <w:sz w:val="18"/>
        </w:rPr>
      </w:pPr>
      <w:r w:rsidRPr="00581306">
        <w:rPr>
          <w:sz w:val="18"/>
        </w:rPr>
        <w:t>MOU agree</w:t>
      </w:r>
      <w:r w:rsidR="00F164C0">
        <w:rPr>
          <w:sz w:val="18"/>
        </w:rPr>
        <w:t>d</w:t>
      </w:r>
      <w:r w:rsidRPr="00581306">
        <w:rPr>
          <w:sz w:val="18"/>
        </w:rPr>
        <w:t xml:space="preserve"> with </w:t>
      </w:r>
      <w:r w:rsidR="0087116C" w:rsidRPr="0087116C">
        <w:rPr>
          <w:sz w:val="18"/>
        </w:rPr>
        <w:t>Safety</w:t>
      </w:r>
      <w:r w:rsidR="0087116C">
        <w:rPr>
          <w:sz w:val="18"/>
        </w:rPr>
        <w:t>n</w:t>
      </w:r>
      <w:r w:rsidR="0087116C" w:rsidRPr="0087116C">
        <w:rPr>
          <w:sz w:val="18"/>
        </w:rPr>
        <w:t>et</w:t>
      </w:r>
    </w:p>
    <w:p w14:paraId="6CA658FF" w14:textId="68EF38BA" w:rsidR="000744C3" w:rsidRPr="00581306" w:rsidRDefault="000744C3" w:rsidP="00581306">
      <w:pPr>
        <w:pStyle w:val="ListParagraph"/>
        <w:numPr>
          <w:ilvl w:val="0"/>
          <w:numId w:val="44"/>
        </w:numPr>
        <w:spacing w:after="0" w:line="360" w:lineRule="auto"/>
        <w:rPr>
          <w:sz w:val="18"/>
        </w:rPr>
      </w:pPr>
      <w:r w:rsidRPr="00581306">
        <w:rPr>
          <w:sz w:val="18"/>
        </w:rPr>
        <w:t>Increase in clients having primary care needs meet</w:t>
      </w:r>
      <w:r w:rsidR="00971D5B" w:rsidRPr="00581306">
        <w:rPr>
          <w:sz w:val="18"/>
        </w:rPr>
        <w:t xml:space="preserve"> (based on collection of a core set of agree</w:t>
      </w:r>
      <w:r w:rsidR="00F164C0">
        <w:rPr>
          <w:sz w:val="18"/>
        </w:rPr>
        <w:t xml:space="preserve">d </w:t>
      </w:r>
      <w:r w:rsidR="00971D5B" w:rsidRPr="00581306">
        <w:rPr>
          <w:sz w:val="18"/>
        </w:rPr>
        <w:t>data)</w:t>
      </w:r>
    </w:p>
    <w:p w14:paraId="750854AA" w14:textId="77777777" w:rsidR="002979C6" w:rsidRPr="00814033" w:rsidRDefault="002979C6" w:rsidP="0087116C">
      <w:pPr>
        <w:spacing w:after="0" w:line="360" w:lineRule="auto"/>
        <w:rPr>
          <w:bCs/>
          <w:sz w:val="18"/>
        </w:rPr>
      </w:pPr>
    </w:p>
    <w:p w14:paraId="5BA4F02C" w14:textId="31A79989" w:rsidR="008900BC" w:rsidRPr="005D60AB" w:rsidRDefault="009F589F" w:rsidP="0087116C">
      <w:pPr>
        <w:pStyle w:val="Heading3"/>
      </w:pPr>
      <w:bookmarkStart w:id="69" w:name="_Toc117669704"/>
      <w:r>
        <w:t xml:space="preserve">5.1.2 </w:t>
      </w:r>
      <w:r w:rsidR="008900BC" w:rsidRPr="005D60AB">
        <w:t xml:space="preserve">Action </w:t>
      </w:r>
      <w:r w:rsidR="00971D5B">
        <w:t>2</w:t>
      </w:r>
      <w:r w:rsidR="008900BC" w:rsidRPr="005D60AB">
        <w:t xml:space="preserve">: Develop additional childcare </w:t>
      </w:r>
      <w:r w:rsidR="00EE5DE2">
        <w:t>capacity</w:t>
      </w:r>
      <w:bookmarkEnd w:id="69"/>
      <w:r w:rsidR="00D92304">
        <w:t xml:space="preserve"> to</w:t>
      </w:r>
      <w:r w:rsidR="00100B90">
        <w:t xml:space="preserve"> include</w:t>
      </w:r>
      <w:r w:rsidR="00D92304">
        <w:t xml:space="preserve"> afternoon service</w:t>
      </w:r>
      <w:r w:rsidR="003B5085">
        <w:t xml:space="preserve">, while maintaining 70/30 ratio </w:t>
      </w:r>
      <w:r w:rsidR="00D92304">
        <w:t xml:space="preserve">of children living with parental substance use and the general community </w:t>
      </w:r>
      <w:r w:rsidR="003B5085">
        <w:t xml:space="preserve"> </w:t>
      </w:r>
    </w:p>
    <w:tbl>
      <w:tblPr>
        <w:tblStyle w:val="2"/>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1"/>
      </w:tblGrid>
      <w:tr w:rsidR="00620F35" w:rsidRPr="007F77CE" w14:paraId="6FFD25FC" w14:textId="77777777" w:rsidTr="00581306">
        <w:tc>
          <w:tcPr>
            <w:tcW w:w="8921" w:type="dxa"/>
            <w:shd w:val="clear" w:color="auto" w:fill="auto"/>
            <w:tcMar>
              <w:top w:w="100" w:type="dxa"/>
              <w:left w:w="100" w:type="dxa"/>
              <w:bottom w:w="100" w:type="dxa"/>
              <w:right w:w="100" w:type="dxa"/>
            </w:tcMar>
          </w:tcPr>
          <w:p w14:paraId="619EAFE8" w14:textId="77777777" w:rsidR="00620F35" w:rsidRPr="007F77CE" w:rsidRDefault="00620F35" w:rsidP="0087116C">
            <w:pPr>
              <w:widowControl w:val="0"/>
              <w:spacing w:after="0" w:line="360" w:lineRule="auto"/>
              <w:rPr>
                <w:b/>
                <w:bCs/>
              </w:rPr>
            </w:pPr>
            <w:r w:rsidRPr="007F77CE">
              <w:rPr>
                <w:b/>
                <w:bCs/>
              </w:rPr>
              <w:t>Action</w:t>
            </w:r>
          </w:p>
        </w:tc>
      </w:tr>
      <w:tr w:rsidR="00620F35" w:rsidRPr="007F77CE" w14:paraId="7791DBC1" w14:textId="77777777" w:rsidTr="00581306">
        <w:trPr>
          <w:trHeight w:val="1481"/>
        </w:trPr>
        <w:tc>
          <w:tcPr>
            <w:tcW w:w="8921" w:type="dxa"/>
            <w:shd w:val="clear" w:color="auto" w:fill="auto"/>
            <w:tcMar>
              <w:top w:w="100" w:type="dxa"/>
              <w:left w:w="100" w:type="dxa"/>
              <w:bottom w:w="100" w:type="dxa"/>
              <w:right w:w="100" w:type="dxa"/>
            </w:tcMar>
          </w:tcPr>
          <w:p w14:paraId="5DA722D7" w14:textId="4031F682" w:rsidR="00620F35" w:rsidRPr="004F7859" w:rsidRDefault="00971D5B" w:rsidP="0087116C">
            <w:pPr>
              <w:widowControl w:val="0"/>
              <w:spacing w:after="0" w:line="360" w:lineRule="auto"/>
              <w:rPr>
                <w:sz w:val="18"/>
              </w:rPr>
            </w:pPr>
            <w:r>
              <w:rPr>
                <w:sz w:val="18"/>
              </w:rPr>
              <w:t xml:space="preserve">Engaging local partners assess </w:t>
            </w:r>
            <w:r w:rsidR="00620F35" w:rsidRPr="007A2C03">
              <w:rPr>
                <w:sz w:val="18"/>
              </w:rPr>
              <w:t xml:space="preserve">whether </w:t>
            </w:r>
            <w:r w:rsidR="00620F35">
              <w:rPr>
                <w:sz w:val="18"/>
              </w:rPr>
              <w:t xml:space="preserve">additional </w:t>
            </w:r>
            <w:r w:rsidR="00620F35" w:rsidRPr="007A2C03">
              <w:rPr>
                <w:sz w:val="18"/>
              </w:rPr>
              <w:t xml:space="preserve">childcare services should be introduced </w:t>
            </w:r>
            <w:r w:rsidR="00620F35">
              <w:rPr>
                <w:sz w:val="18"/>
              </w:rPr>
              <w:t>in</w:t>
            </w:r>
            <w:r w:rsidR="00620F35" w:rsidRPr="007A2C03">
              <w:rPr>
                <w:sz w:val="18"/>
              </w:rPr>
              <w:t xml:space="preserve"> the afternoon. </w:t>
            </w:r>
            <w:r w:rsidR="00620F35">
              <w:rPr>
                <w:sz w:val="18"/>
              </w:rPr>
              <w:t xml:space="preserve">This would involve </w:t>
            </w:r>
            <w:r>
              <w:rPr>
                <w:sz w:val="18"/>
              </w:rPr>
              <w:t>reviewing</w:t>
            </w:r>
            <w:r w:rsidR="00620F35" w:rsidRPr="004F7859">
              <w:rPr>
                <w:sz w:val="18"/>
              </w:rPr>
              <w:t xml:space="preserve"> funding streams </w:t>
            </w:r>
            <w:r w:rsidR="000C6F4E">
              <w:rPr>
                <w:sz w:val="18"/>
              </w:rPr>
              <w:t xml:space="preserve">that </w:t>
            </w:r>
            <w:r w:rsidR="00620F35" w:rsidRPr="004F7859">
              <w:rPr>
                <w:sz w:val="18"/>
              </w:rPr>
              <w:t>can be accessed for the provision of extended childcare services in the afternoon i.e. ECCE and NCS</w:t>
            </w:r>
            <w:r w:rsidR="00620F35">
              <w:rPr>
                <w:sz w:val="18"/>
              </w:rPr>
              <w:t xml:space="preserve">. </w:t>
            </w:r>
            <w:r w:rsidR="00620F35" w:rsidRPr="004F7859">
              <w:rPr>
                <w:sz w:val="18"/>
              </w:rPr>
              <w:t xml:space="preserve"> </w:t>
            </w:r>
            <w:r>
              <w:rPr>
                <w:sz w:val="18"/>
              </w:rPr>
              <w:t>Once need is established to develop a business plan and apply for funding.</w:t>
            </w:r>
          </w:p>
        </w:tc>
      </w:tr>
      <w:tr w:rsidR="00971D5B" w:rsidRPr="007F77CE" w14:paraId="746796C7" w14:textId="77777777" w:rsidTr="00581306">
        <w:trPr>
          <w:trHeight w:val="742"/>
        </w:trPr>
        <w:tc>
          <w:tcPr>
            <w:tcW w:w="8921" w:type="dxa"/>
            <w:shd w:val="clear" w:color="auto" w:fill="auto"/>
            <w:tcMar>
              <w:top w:w="100" w:type="dxa"/>
              <w:left w:w="100" w:type="dxa"/>
              <w:bottom w:w="100" w:type="dxa"/>
              <w:right w:w="100" w:type="dxa"/>
            </w:tcMar>
          </w:tcPr>
          <w:p w14:paraId="4DA9567B" w14:textId="4B0031F0" w:rsidR="00971D5B" w:rsidRDefault="00971D5B" w:rsidP="0087116C">
            <w:pPr>
              <w:widowControl w:val="0"/>
              <w:spacing w:after="0" w:line="360" w:lineRule="auto"/>
              <w:rPr>
                <w:sz w:val="18"/>
              </w:rPr>
            </w:pPr>
            <w:r>
              <w:rPr>
                <w:sz w:val="18"/>
              </w:rPr>
              <w:t>JADD will co-ordinate the extended childcare places with core services and the crack cocaine programme to ensure that women who most need these services are able to access them.</w:t>
            </w:r>
          </w:p>
        </w:tc>
      </w:tr>
      <w:tr w:rsidR="00971D5B" w:rsidRPr="007F77CE" w14:paraId="14419EBD" w14:textId="77777777" w:rsidTr="00971D5B">
        <w:trPr>
          <w:trHeight w:val="742"/>
        </w:trPr>
        <w:tc>
          <w:tcPr>
            <w:tcW w:w="8921" w:type="dxa"/>
            <w:shd w:val="clear" w:color="auto" w:fill="auto"/>
            <w:tcMar>
              <w:top w:w="100" w:type="dxa"/>
              <w:left w:w="100" w:type="dxa"/>
              <w:bottom w:w="100" w:type="dxa"/>
              <w:right w:w="100" w:type="dxa"/>
            </w:tcMar>
          </w:tcPr>
          <w:p w14:paraId="432597E9" w14:textId="62FFDC30" w:rsidR="00971D5B" w:rsidRDefault="00971D5B" w:rsidP="0087116C">
            <w:pPr>
              <w:widowControl w:val="0"/>
              <w:spacing w:after="0" w:line="360" w:lineRule="auto"/>
              <w:rPr>
                <w:sz w:val="18"/>
              </w:rPr>
            </w:pPr>
            <w:r>
              <w:rPr>
                <w:sz w:val="18"/>
              </w:rPr>
              <w:t>After 12 months to review the programme and its impact and review where or how impact can be enhanced.</w:t>
            </w:r>
          </w:p>
        </w:tc>
      </w:tr>
    </w:tbl>
    <w:p w14:paraId="31A8630A" w14:textId="77777777" w:rsidR="008900BC" w:rsidRDefault="008900BC" w:rsidP="0087116C">
      <w:pPr>
        <w:spacing w:after="0" w:line="360" w:lineRule="auto"/>
      </w:pPr>
    </w:p>
    <w:p w14:paraId="23EC4E13" w14:textId="77777777" w:rsidR="008900BC" w:rsidRDefault="008900BC" w:rsidP="0087116C">
      <w:pPr>
        <w:spacing w:after="0" w:line="360" w:lineRule="auto"/>
        <w:rPr>
          <w:b/>
        </w:rPr>
      </w:pPr>
      <w:r>
        <w:rPr>
          <w:b/>
        </w:rPr>
        <w:t>Key Performance Indicators (How we will know we have been successful)</w:t>
      </w:r>
    </w:p>
    <w:p w14:paraId="3B7C07C5" w14:textId="77777777" w:rsidR="008900BC" w:rsidRDefault="003125DD" w:rsidP="0087116C">
      <w:pPr>
        <w:numPr>
          <w:ilvl w:val="0"/>
          <w:numId w:val="9"/>
        </w:numPr>
        <w:spacing w:after="0" w:line="360" w:lineRule="auto"/>
        <w:rPr>
          <w:sz w:val="18"/>
        </w:rPr>
      </w:pPr>
      <w:r>
        <w:rPr>
          <w:sz w:val="18"/>
        </w:rPr>
        <w:t xml:space="preserve">Additional </w:t>
      </w:r>
      <w:r w:rsidR="009B4FAF" w:rsidRPr="009548E9">
        <w:rPr>
          <w:sz w:val="18"/>
        </w:rPr>
        <w:t xml:space="preserve">provision of childcare services </w:t>
      </w:r>
    </w:p>
    <w:p w14:paraId="2042D461" w14:textId="1F92081F" w:rsidR="004F7859" w:rsidRPr="009548E9" w:rsidRDefault="004F7859" w:rsidP="0087116C">
      <w:pPr>
        <w:numPr>
          <w:ilvl w:val="0"/>
          <w:numId w:val="9"/>
        </w:numPr>
        <w:spacing w:after="0" w:line="360" w:lineRule="auto"/>
        <w:rPr>
          <w:sz w:val="18"/>
        </w:rPr>
      </w:pPr>
      <w:r>
        <w:rPr>
          <w:sz w:val="18"/>
        </w:rPr>
        <w:t>Women at risk are able to access support services</w:t>
      </w:r>
      <w:r w:rsidR="00971D5B">
        <w:rPr>
          <w:sz w:val="18"/>
        </w:rPr>
        <w:t xml:space="preserve"> and the impact of this is recorded in a brief evaluation report</w:t>
      </w:r>
    </w:p>
    <w:p w14:paraId="3EDA4F7A" w14:textId="77777777" w:rsidR="00BC60EB" w:rsidRDefault="00BC60EB" w:rsidP="0087116C">
      <w:pPr>
        <w:spacing w:after="0" w:line="360" w:lineRule="auto"/>
        <w:ind w:left="360"/>
      </w:pPr>
    </w:p>
    <w:p w14:paraId="0487398F" w14:textId="220045F7" w:rsidR="00711955" w:rsidRPr="004F7859" w:rsidRDefault="009F589F" w:rsidP="0087116C">
      <w:pPr>
        <w:pStyle w:val="Heading3"/>
      </w:pPr>
      <w:bookmarkStart w:id="70" w:name="_Toc117669707"/>
      <w:r>
        <w:t xml:space="preserve">5.1.3 </w:t>
      </w:r>
      <w:r w:rsidR="00711955" w:rsidRPr="004F7859">
        <w:t xml:space="preserve">Action </w:t>
      </w:r>
      <w:r w:rsidR="0087116C">
        <w:t>3</w:t>
      </w:r>
      <w:r w:rsidR="00711955" w:rsidRPr="004F7859">
        <w:t xml:space="preserve">: Develop and trial </w:t>
      </w:r>
      <w:r w:rsidR="00365380">
        <w:t>methods</w:t>
      </w:r>
      <w:r w:rsidR="00711955" w:rsidRPr="004F7859">
        <w:t xml:space="preserve"> to support clients </w:t>
      </w:r>
      <w:r w:rsidR="00365380">
        <w:t xml:space="preserve">to provide </w:t>
      </w:r>
      <w:r w:rsidR="00711955" w:rsidRPr="004F7859">
        <w:t xml:space="preserve">feedback and engage in decision-making </w:t>
      </w:r>
      <w:r w:rsidR="00365380">
        <w:t>within the service</w:t>
      </w:r>
      <w:r w:rsidR="00A13052">
        <w:t>.</w:t>
      </w:r>
    </w:p>
    <w:tbl>
      <w:tblPr>
        <w:tblStyle w:val="1"/>
        <w:tblW w:w="8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79"/>
      </w:tblGrid>
      <w:tr w:rsidR="00711955" w14:paraId="22BCE802" w14:textId="77777777" w:rsidTr="00E63B0F">
        <w:tc>
          <w:tcPr>
            <w:tcW w:w="8779" w:type="dxa"/>
            <w:shd w:val="clear" w:color="auto" w:fill="auto"/>
            <w:tcMar>
              <w:top w:w="100" w:type="dxa"/>
              <w:left w:w="100" w:type="dxa"/>
              <w:bottom w:w="100" w:type="dxa"/>
              <w:right w:w="100" w:type="dxa"/>
            </w:tcMar>
          </w:tcPr>
          <w:p w14:paraId="12640913" w14:textId="256CCD94" w:rsidR="00112D7A" w:rsidRPr="007A2C03" w:rsidRDefault="00112D7A" w:rsidP="00B54C5D">
            <w:pPr>
              <w:pStyle w:val="ListParagraph"/>
              <w:widowControl w:val="0"/>
              <w:numPr>
                <w:ilvl w:val="0"/>
                <w:numId w:val="49"/>
              </w:numPr>
              <w:spacing w:after="0" w:line="360" w:lineRule="auto"/>
              <w:rPr>
                <w:sz w:val="18"/>
              </w:rPr>
            </w:pPr>
            <w:r w:rsidRPr="007A51AD">
              <w:rPr>
                <w:sz w:val="18"/>
              </w:rPr>
              <w:t>Trial a number of approaches for engaging service users in feedback and their experience with JADD. These engagement-systems will be co-created with service users in order to assess what options best suit their needs</w:t>
            </w:r>
          </w:p>
        </w:tc>
      </w:tr>
    </w:tbl>
    <w:p w14:paraId="0A6AB7BC" w14:textId="77777777" w:rsidR="00711955" w:rsidRDefault="00711955" w:rsidP="0087116C">
      <w:pPr>
        <w:spacing w:after="0" w:line="360" w:lineRule="auto"/>
      </w:pPr>
    </w:p>
    <w:p w14:paraId="3B175754" w14:textId="77777777" w:rsidR="00711955" w:rsidRPr="002659F4" w:rsidRDefault="00711955" w:rsidP="0087116C">
      <w:pPr>
        <w:spacing w:after="0" w:line="360" w:lineRule="auto"/>
        <w:rPr>
          <w:b/>
          <w:sz w:val="18"/>
        </w:rPr>
      </w:pPr>
      <w:r w:rsidRPr="002659F4">
        <w:rPr>
          <w:b/>
          <w:sz w:val="18"/>
        </w:rPr>
        <w:t>Key Performance Indicators (How we will know we have been successful)</w:t>
      </w:r>
    </w:p>
    <w:p w14:paraId="097DF58E" w14:textId="36687B3C" w:rsidR="00711955" w:rsidRDefault="00711955" w:rsidP="0087116C">
      <w:pPr>
        <w:pStyle w:val="ListParagraph"/>
        <w:numPr>
          <w:ilvl w:val="0"/>
          <w:numId w:val="45"/>
        </w:numPr>
        <w:spacing w:line="360" w:lineRule="auto"/>
        <w:rPr>
          <w:sz w:val="18"/>
        </w:rPr>
      </w:pPr>
      <w:r w:rsidRPr="00581306">
        <w:rPr>
          <w:sz w:val="18"/>
        </w:rPr>
        <w:t xml:space="preserve">Service-user engagement and feedback presented to the Board at least </w:t>
      </w:r>
      <w:r w:rsidR="009001B6" w:rsidRPr="00581306">
        <w:rPr>
          <w:sz w:val="18"/>
        </w:rPr>
        <w:t>annually.</w:t>
      </w:r>
    </w:p>
    <w:p w14:paraId="018AC359" w14:textId="0C299E57" w:rsidR="00971D5B" w:rsidRDefault="00942090" w:rsidP="0087116C">
      <w:pPr>
        <w:pStyle w:val="ListParagraph"/>
        <w:numPr>
          <w:ilvl w:val="0"/>
          <w:numId w:val="45"/>
        </w:numPr>
        <w:spacing w:line="360" w:lineRule="auto"/>
        <w:rPr>
          <w:sz w:val="18"/>
        </w:rPr>
      </w:pPr>
      <w:r>
        <w:rPr>
          <w:sz w:val="18"/>
        </w:rPr>
        <w:t xml:space="preserve">Service users feel listened to and empowered to influence service delivery, as judged though an annual survey/focus </w:t>
      </w:r>
      <w:r w:rsidR="009001B6">
        <w:rPr>
          <w:sz w:val="18"/>
        </w:rPr>
        <w:t>group.</w:t>
      </w:r>
    </w:p>
    <w:p w14:paraId="70391D97" w14:textId="77777777" w:rsidR="000B5750" w:rsidRDefault="000C6F4E" w:rsidP="0087116C">
      <w:pPr>
        <w:pStyle w:val="Heading3"/>
      </w:pPr>
      <w:r>
        <w:t xml:space="preserve">5.1.4 </w:t>
      </w:r>
      <w:r w:rsidR="00971D5B" w:rsidRPr="005D60AB">
        <w:t xml:space="preserve">Action </w:t>
      </w:r>
      <w:r w:rsidR="00BB5867">
        <w:t>4</w:t>
      </w:r>
      <w:r w:rsidR="00971D5B" w:rsidRPr="005D60AB">
        <w:t xml:space="preserve">: </w:t>
      </w:r>
      <w:r w:rsidR="00971D5B">
        <w:t xml:space="preserve">Develop </w:t>
      </w:r>
      <w:r w:rsidR="00971D5B" w:rsidRPr="005D60AB">
        <w:t>an outcome framework to support continu</w:t>
      </w:r>
      <w:r w:rsidR="00971D5B">
        <w:t>ed</w:t>
      </w:r>
      <w:r w:rsidR="00971D5B" w:rsidRPr="005D60AB">
        <w:t xml:space="preserve"> assessment of </w:t>
      </w:r>
      <w:r w:rsidR="000B5750">
        <w:t xml:space="preserve">core services </w:t>
      </w:r>
      <w:r w:rsidR="00971D5B" w:rsidRPr="005D60AB">
        <w:t>effectiveness</w:t>
      </w:r>
      <w:r w:rsidR="00057306">
        <w:t>.</w:t>
      </w:r>
    </w:p>
    <w:tbl>
      <w:tblPr>
        <w:tblStyle w:val="1"/>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1"/>
      </w:tblGrid>
      <w:tr w:rsidR="00971D5B" w14:paraId="2A35EF33" w14:textId="77777777" w:rsidTr="00E63B0F">
        <w:trPr>
          <w:trHeight w:val="250"/>
        </w:trPr>
        <w:tc>
          <w:tcPr>
            <w:tcW w:w="8921" w:type="dxa"/>
            <w:shd w:val="clear" w:color="auto" w:fill="auto"/>
            <w:tcMar>
              <w:top w:w="100" w:type="dxa"/>
              <w:left w:w="100" w:type="dxa"/>
              <w:bottom w:w="100" w:type="dxa"/>
              <w:right w:w="100" w:type="dxa"/>
            </w:tcMar>
          </w:tcPr>
          <w:p w14:paraId="1653DC45" w14:textId="17BC3A4E" w:rsidR="00971D5B" w:rsidRPr="007A2C03" w:rsidRDefault="000B5750" w:rsidP="0087116C">
            <w:pPr>
              <w:widowControl w:val="0"/>
              <w:spacing w:after="0" w:line="360" w:lineRule="auto"/>
              <w:rPr>
                <w:sz w:val="18"/>
              </w:rPr>
            </w:pPr>
            <w:r>
              <w:t xml:space="preserve"> </w:t>
            </w:r>
            <w:r w:rsidR="00971D5B">
              <w:rPr>
                <w:sz w:val="18"/>
              </w:rPr>
              <w:t>D</w:t>
            </w:r>
            <w:r w:rsidR="00971D5B" w:rsidRPr="007A2C03">
              <w:rPr>
                <w:sz w:val="18"/>
              </w:rPr>
              <w:t>evelop and implement practical outcome frameworks for and data collection processes for all new programmes and key working / case management services</w:t>
            </w:r>
            <w:r w:rsidR="00971D5B">
              <w:rPr>
                <w:sz w:val="18"/>
              </w:rPr>
              <w:t>.</w:t>
            </w:r>
          </w:p>
        </w:tc>
      </w:tr>
      <w:tr w:rsidR="00971D5B" w14:paraId="42F835BA" w14:textId="77777777" w:rsidTr="00E63B0F">
        <w:trPr>
          <w:trHeight w:val="24"/>
        </w:trPr>
        <w:tc>
          <w:tcPr>
            <w:tcW w:w="8921" w:type="dxa"/>
            <w:shd w:val="clear" w:color="auto" w:fill="auto"/>
            <w:tcMar>
              <w:top w:w="100" w:type="dxa"/>
              <w:left w:w="100" w:type="dxa"/>
              <w:bottom w:w="100" w:type="dxa"/>
              <w:right w:w="100" w:type="dxa"/>
            </w:tcMar>
          </w:tcPr>
          <w:p w14:paraId="722650D7" w14:textId="77777777" w:rsidR="00971D5B" w:rsidRPr="007A2C03" w:rsidRDefault="00971D5B" w:rsidP="0087116C">
            <w:pPr>
              <w:widowControl w:val="0"/>
              <w:spacing w:after="0" w:line="360" w:lineRule="auto"/>
              <w:rPr>
                <w:sz w:val="18"/>
              </w:rPr>
            </w:pPr>
            <w:r>
              <w:rPr>
                <w:sz w:val="18"/>
              </w:rPr>
              <w:t>U</w:t>
            </w:r>
            <w:r w:rsidRPr="007A2C03">
              <w:rPr>
                <w:sz w:val="18"/>
              </w:rPr>
              <w:t>se information from the outcome framework, alongside qualitative data gained through interviews and focus groups to evaluate programmes</w:t>
            </w:r>
            <w:r>
              <w:rPr>
                <w:sz w:val="18"/>
              </w:rPr>
              <w:t>.</w:t>
            </w:r>
          </w:p>
        </w:tc>
      </w:tr>
    </w:tbl>
    <w:p w14:paraId="4731F085" w14:textId="77777777" w:rsidR="00971D5B" w:rsidRDefault="00971D5B" w:rsidP="0087116C">
      <w:pPr>
        <w:spacing w:after="0" w:line="360" w:lineRule="auto"/>
      </w:pPr>
    </w:p>
    <w:p w14:paraId="61E4F0E3" w14:textId="77777777" w:rsidR="00971D5B" w:rsidRDefault="00971D5B" w:rsidP="0087116C">
      <w:pPr>
        <w:spacing w:after="0" w:line="360" w:lineRule="auto"/>
        <w:rPr>
          <w:b/>
        </w:rPr>
      </w:pPr>
      <w:r>
        <w:rPr>
          <w:b/>
        </w:rPr>
        <w:t>Key Performance Indicators (How we will know we have been successful)</w:t>
      </w:r>
    </w:p>
    <w:p w14:paraId="26FA14C0" w14:textId="25D14081" w:rsidR="00971D5B" w:rsidRPr="00AF7F47" w:rsidRDefault="00971D5B" w:rsidP="0087116C">
      <w:pPr>
        <w:pStyle w:val="ListParagraph"/>
        <w:numPr>
          <w:ilvl w:val="0"/>
          <w:numId w:val="14"/>
        </w:numPr>
        <w:spacing w:after="0" w:line="360" w:lineRule="auto"/>
        <w:rPr>
          <w:bCs/>
          <w:sz w:val="18"/>
        </w:rPr>
      </w:pPr>
      <w:r w:rsidRPr="00AF7F47">
        <w:rPr>
          <w:bCs/>
          <w:sz w:val="18"/>
        </w:rPr>
        <w:t xml:space="preserve">The outcome framework is developed and </w:t>
      </w:r>
      <w:r w:rsidR="009001B6" w:rsidRPr="00AF7F47">
        <w:rPr>
          <w:bCs/>
          <w:sz w:val="18"/>
        </w:rPr>
        <w:t>implemented.</w:t>
      </w:r>
    </w:p>
    <w:p w14:paraId="62FACCE2" w14:textId="7FC5955B" w:rsidR="00971D5B" w:rsidRDefault="00971D5B" w:rsidP="0087116C">
      <w:pPr>
        <w:pStyle w:val="ListParagraph"/>
        <w:numPr>
          <w:ilvl w:val="0"/>
          <w:numId w:val="14"/>
        </w:numPr>
        <w:spacing w:after="0" w:line="360" w:lineRule="auto"/>
        <w:rPr>
          <w:bCs/>
          <w:sz w:val="18"/>
        </w:rPr>
      </w:pPr>
      <w:r w:rsidRPr="00AF7F47">
        <w:rPr>
          <w:bCs/>
          <w:sz w:val="18"/>
        </w:rPr>
        <w:t xml:space="preserve">New project evaluation reports </w:t>
      </w:r>
      <w:r>
        <w:rPr>
          <w:bCs/>
          <w:sz w:val="18"/>
        </w:rPr>
        <w:t xml:space="preserve">are </w:t>
      </w:r>
      <w:r w:rsidR="009001B6">
        <w:rPr>
          <w:bCs/>
          <w:sz w:val="18"/>
        </w:rPr>
        <w:t>developed.</w:t>
      </w:r>
    </w:p>
    <w:p w14:paraId="22F0398D" w14:textId="77777777" w:rsidR="00C56DE4" w:rsidRDefault="00C56DE4" w:rsidP="00C56DE4">
      <w:pPr>
        <w:pStyle w:val="ListParagraph"/>
        <w:spacing w:after="0" w:line="360" w:lineRule="auto"/>
        <w:rPr>
          <w:bCs/>
          <w:sz w:val="18"/>
        </w:rPr>
      </w:pPr>
    </w:p>
    <w:p w14:paraId="2B812A1C" w14:textId="23D91822" w:rsidR="003072A0" w:rsidRPr="005D60AB" w:rsidRDefault="003072A0" w:rsidP="003072A0">
      <w:pPr>
        <w:pStyle w:val="Heading3"/>
      </w:pPr>
      <w:r>
        <w:t>5.1.5 Action 5:    Complete peer reviewed research paper to assess effectiveness of Trabolgan respite break.</w:t>
      </w:r>
    </w:p>
    <w:tbl>
      <w:tblPr>
        <w:tblStyle w:val="1"/>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1"/>
      </w:tblGrid>
      <w:tr w:rsidR="003072A0" w14:paraId="47619F7E" w14:textId="77777777" w:rsidTr="00062BD0">
        <w:trPr>
          <w:trHeight w:val="24"/>
        </w:trPr>
        <w:tc>
          <w:tcPr>
            <w:tcW w:w="8921" w:type="dxa"/>
            <w:shd w:val="clear" w:color="auto" w:fill="auto"/>
            <w:tcMar>
              <w:top w:w="100" w:type="dxa"/>
              <w:left w:w="100" w:type="dxa"/>
              <w:bottom w:w="100" w:type="dxa"/>
              <w:right w:w="100" w:type="dxa"/>
            </w:tcMar>
          </w:tcPr>
          <w:p w14:paraId="758D4374" w14:textId="403C6F48" w:rsidR="003072A0" w:rsidRDefault="003072A0" w:rsidP="00062BD0">
            <w:pPr>
              <w:widowControl w:val="0"/>
              <w:spacing w:after="0" w:line="360" w:lineRule="auto"/>
              <w:rPr>
                <w:sz w:val="18"/>
              </w:rPr>
            </w:pPr>
            <w:r w:rsidRPr="00E155C8">
              <w:rPr>
                <w:sz w:val="18"/>
              </w:rPr>
              <w:t xml:space="preserve">Develop a research approach behind respite initiatives to better understand and reach a </w:t>
            </w:r>
            <w:r w:rsidR="001631F2" w:rsidRPr="00E155C8">
              <w:rPr>
                <w:sz w:val="18"/>
              </w:rPr>
              <w:t>data-based</w:t>
            </w:r>
            <w:r w:rsidRPr="00E155C8">
              <w:rPr>
                <w:sz w:val="18"/>
              </w:rPr>
              <w:t xml:space="preserve"> conclusion as to the effectiveness of our programs</w:t>
            </w:r>
          </w:p>
        </w:tc>
      </w:tr>
    </w:tbl>
    <w:p w14:paraId="394C1735" w14:textId="77777777" w:rsidR="003072A0" w:rsidRDefault="003072A0" w:rsidP="003072A0">
      <w:pPr>
        <w:spacing w:after="0" w:line="360" w:lineRule="auto"/>
        <w:rPr>
          <w:b/>
        </w:rPr>
      </w:pPr>
      <w:r>
        <w:rPr>
          <w:b/>
        </w:rPr>
        <w:t>Key Performance Indicators (How we will know we have been successful)</w:t>
      </w:r>
    </w:p>
    <w:p w14:paraId="4DD0E0E1" w14:textId="7056EF09" w:rsidR="003072A0" w:rsidRPr="000C6F4E" w:rsidRDefault="003072A0" w:rsidP="003072A0">
      <w:pPr>
        <w:pStyle w:val="ListParagraph"/>
        <w:numPr>
          <w:ilvl w:val="0"/>
          <w:numId w:val="14"/>
        </w:numPr>
        <w:spacing w:line="360" w:lineRule="auto"/>
        <w:rPr>
          <w:sz w:val="18"/>
        </w:rPr>
      </w:pPr>
      <w:r>
        <w:rPr>
          <w:sz w:val="18"/>
        </w:rPr>
        <w:t xml:space="preserve">Research paper completed for Trabolgan which has been peer reviewed &amp; which is suitable for </w:t>
      </w:r>
      <w:r w:rsidR="008719F4">
        <w:rPr>
          <w:sz w:val="18"/>
        </w:rPr>
        <w:t>sharing publicly with relevant organizations</w:t>
      </w:r>
      <w:r>
        <w:rPr>
          <w:sz w:val="18"/>
        </w:rPr>
        <w:t>.</w:t>
      </w:r>
    </w:p>
    <w:p w14:paraId="56168A09" w14:textId="5D4E35E9" w:rsidR="003E5D1D" w:rsidRDefault="003E5D1D" w:rsidP="00B54C5D">
      <w:pPr>
        <w:pStyle w:val="Heading3"/>
        <w:rPr>
          <w:sz w:val="28"/>
          <w:szCs w:val="28"/>
        </w:rPr>
      </w:pPr>
    </w:p>
    <w:p w14:paraId="6CD21256" w14:textId="77777777" w:rsidR="0055349E" w:rsidRPr="0055349E" w:rsidRDefault="0055349E" w:rsidP="0055349E"/>
    <w:p w14:paraId="335820BF" w14:textId="08439D9C" w:rsidR="00735F86" w:rsidRPr="00581306" w:rsidRDefault="004D2EA8" w:rsidP="00581306">
      <w:pPr>
        <w:pStyle w:val="Heading2"/>
        <w:numPr>
          <w:ilvl w:val="0"/>
          <w:numId w:val="0"/>
        </w:numPr>
        <w:rPr>
          <w:lang w:val="en-GB"/>
        </w:rPr>
      </w:pPr>
      <w:bookmarkStart w:id="71" w:name="_Toc124260296"/>
      <w:r>
        <w:t xml:space="preserve">5.2 </w:t>
      </w:r>
      <w:r w:rsidR="00711955">
        <w:t xml:space="preserve">Further </w:t>
      </w:r>
      <w:r w:rsidR="00711955" w:rsidRPr="00144B9F">
        <w:t>Develop Crack Cocaine</w:t>
      </w:r>
      <w:r w:rsidR="00711955">
        <w:t xml:space="preserve"> and </w:t>
      </w:r>
      <w:r w:rsidR="00711955" w:rsidRPr="00144B9F">
        <w:t xml:space="preserve">Poly Drug </w:t>
      </w:r>
      <w:r w:rsidR="00711955">
        <w:t>R</w:t>
      </w:r>
      <w:r w:rsidR="00711955" w:rsidRPr="00144B9F">
        <w:t>esponse</w:t>
      </w:r>
      <w:r w:rsidR="0087116C">
        <w:t>s</w:t>
      </w:r>
      <w:bookmarkEnd w:id="71"/>
    </w:p>
    <w:p w14:paraId="030D2C49" w14:textId="4DF9EE69" w:rsidR="00711955" w:rsidRDefault="009F589F" w:rsidP="00581306">
      <w:pPr>
        <w:pStyle w:val="Heading3"/>
        <w:rPr>
          <w:b/>
          <w:sz w:val="22"/>
        </w:rPr>
      </w:pPr>
      <w:bookmarkStart w:id="72" w:name="_Toc117669532"/>
      <w:bookmarkStart w:id="73" w:name="_Toc117669675"/>
      <w:bookmarkEnd w:id="70"/>
      <w:bookmarkEnd w:id="72"/>
      <w:bookmarkEnd w:id="73"/>
      <w:r>
        <w:t xml:space="preserve">5.2.1 </w:t>
      </w:r>
      <w:r w:rsidR="00711955" w:rsidRPr="005D60AB">
        <w:t xml:space="preserve">Action </w:t>
      </w:r>
      <w:r w:rsidR="00C56DE4">
        <w:t>6</w:t>
      </w:r>
      <w:r w:rsidR="00711955" w:rsidRPr="005D60AB">
        <w:t xml:space="preserve">: </w:t>
      </w:r>
      <w:r w:rsidR="0087116C">
        <w:t xml:space="preserve">Continue and develop the crack cocaine assertive outreach </w:t>
      </w:r>
      <w:r w:rsidR="009001B6">
        <w:t>programme.</w:t>
      </w:r>
    </w:p>
    <w:tbl>
      <w:tblPr>
        <w:tblStyle w:val="5"/>
        <w:tblW w:w="921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711955" w:rsidRPr="001D4D71" w14:paraId="7AFF4181" w14:textId="77777777" w:rsidTr="00E63B0F">
        <w:tc>
          <w:tcPr>
            <w:tcW w:w="9214" w:type="dxa"/>
            <w:shd w:val="clear" w:color="auto" w:fill="auto"/>
            <w:tcMar>
              <w:top w:w="100" w:type="dxa"/>
              <w:left w:w="100" w:type="dxa"/>
              <w:bottom w:w="100" w:type="dxa"/>
              <w:right w:w="100" w:type="dxa"/>
            </w:tcMar>
          </w:tcPr>
          <w:p w14:paraId="05D0F6CB" w14:textId="2250C309" w:rsidR="00711955" w:rsidRDefault="008E1FBC" w:rsidP="0087116C">
            <w:pPr>
              <w:widowControl w:val="0"/>
              <w:spacing w:after="0" w:line="360" w:lineRule="auto"/>
              <w:rPr>
                <w:sz w:val="18"/>
              </w:rPr>
            </w:pPr>
            <w:r>
              <w:rPr>
                <w:sz w:val="18"/>
              </w:rPr>
              <w:t>We aim t</w:t>
            </w:r>
            <w:r w:rsidR="00711955">
              <w:rPr>
                <w:sz w:val="18"/>
              </w:rPr>
              <w:t xml:space="preserve">o further enhance our </w:t>
            </w:r>
            <w:r w:rsidR="00151A3A">
              <w:rPr>
                <w:sz w:val="18"/>
              </w:rPr>
              <w:t xml:space="preserve">assertive outreach services </w:t>
            </w:r>
            <w:r w:rsidR="00711955">
              <w:rPr>
                <w:sz w:val="18"/>
              </w:rPr>
              <w:t>which aims to engage the most hard to reach and at risk families</w:t>
            </w:r>
            <w:r w:rsidR="00151A3A">
              <w:rPr>
                <w:sz w:val="18"/>
              </w:rPr>
              <w:t xml:space="preserve">. We will do this </w:t>
            </w:r>
            <w:r w:rsidR="00711955">
              <w:rPr>
                <w:sz w:val="18"/>
              </w:rPr>
              <w:t xml:space="preserve">in collaboration with local partners, including South Dublin County Council, Housing bodies, Housing First, Tusla and HSE. </w:t>
            </w:r>
            <w:r w:rsidR="00151A3A">
              <w:rPr>
                <w:sz w:val="18"/>
              </w:rPr>
              <w:t>The service will</w:t>
            </w:r>
            <w:r w:rsidR="00711955">
              <w:rPr>
                <w:sz w:val="18"/>
              </w:rPr>
              <w:t xml:space="preserve"> aim to p</w:t>
            </w:r>
            <w:r w:rsidR="00711955" w:rsidRPr="001D4D71">
              <w:rPr>
                <w:sz w:val="18"/>
              </w:rPr>
              <w:t>rovid</w:t>
            </w:r>
            <w:r w:rsidR="00711955">
              <w:rPr>
                <w:sz w:val="18"/>
              </w:rPr>
              <w:t>e</w:t>
            </w:r>
            <w:r w:rsidR="00711955" w:rsidRPr="001D4D71">
              <w:rPr>
                <w:sz w:val="18"/>
              </w:rPr>
              <w:t xml:space="preserve"> 15</w:t>
            </w:r>
            <w:r w:rsidR="00711955" w:rsidRPr="00DE3EA6">
              <w:rPr>
                <w:sz w:val="18"/>
              </w:rPr>
              <w:t xml:space="preserve"> - 25 outreach connections</w:t>
            </w:r>
            <w:r w:rsidR="00711955">
              <w:rPr>
                <w:sz w:val="18"/>
              </w:rPr>
              <w:t xml:space="preserve"> for each </w:t>
            </w:r>
            <w:r w:rsidR="00711955" w:rsidRPr="001D4D71">
              <w:rPr>
                <w:sz w:val="18"/>
              </w:rPr>
              <w:t>afternoon</w:t>
            </w:r>
            <w:r w:rsidR="00711955">
              <w:rPr>
                <w:sz w:val="18"/>
              </w:rPr>
              <w:t xml:space="preserve">/evening </w:t>
            </w:r>
            <w:r w:rsidR="00711955" w:rsidRPr="001D4D71">
              <w:rPr>
                <w:sz w:val="18"/>
              </w:rPr>
              <w:t>3 hour</w:t>
            </w:r>
            <w:r w:rsidR="00711955">
              <w:rPr>
                <w:sz w:val="18"/>
              </w:rPr>
              <w:t xml:space="preserve"> session</w:t>
            </w:r>
            <w:r w:rsidR="00711955" w:rsidRPr="001D4D71">
              <w:rPr>
                <w:sz w:val="18"/>
              </w:rPr>
              <w:t xml:space="preserve">. Outreach </w:t>
            </w:r>
            <w:r w:rsidR="00711955">
              <w:rPr>
                <w:sz w:val="18"/>
              </w:rPr>
              <w:t xml:space="preserve">is </w:t>
            </w:r>
            <w:r w:rsidR="00711955" w:rsidRPr="001D4D71">
              <w:rPr>
                <w:sz w:val="18"/>
              </w:rPr>
              <w:t xml:space="preserve">conducted on the street or through home visits. People </w:t>
            </w:r>
            <w:r w:rsidR="00711955">
              <w:rPr>
                <w:sz w:val="18"/>
              </w:rPr>
              <w:t xml:space="preserve">are </w:t>
            </w:r>
            <w:r w:rsidR="00711955" w:rsidRPr="001D4D71">
              <w:rPr>
                <w:sz w:val="18"/>
              </w:rPr>
              <w:t>prioritised for th</w:t>
            </w:r>
            <w:r w:rsidR="00711955">
              <w:rPr>
                <w:sz w:val="18"/>
              </w:rPr>
              <w:t xml:space="preserve">is </w:t>
            </w:r>
            <w:r w:rsidR="00711955" w:rsidRPr="001D4D71">
              <w:rPr>
                <w:sz w:val="18"/>
              </w:rPr>
              <w:t>service, based on the following criteria:</w:t>
            </w:r>
          </w:p>
          <w:p w14:paraId="3C98823E" w14:textId="77777777" w:rsidR="00711955" w:rsidRPr="00DE3EA6" w:rsidRDefault="00711955" w:rsidP="0087116C">
            <w:pPr>
              <w:pStyle w:val="ListParagraph"/>
              <w:widowControl w:val="0"/>
              <w:numPr>
                <w:ilvl w:val="0"/>
                <w:numId w:val="3"/>
              </w:numPr>
              <w:spacing w:after="0" w:line="360" w:lineRule="auto"/>
              <w:rPr>
                <w:sz w:val="18"/>
              </w:rPr>
            </w:pPr>
            <w:r>
              <w:rPr>
                <w:sz w:val="18"/>
              </w:rPr>
              <w:t>Highlighted by the JADD team to be</w:t>
            </w:r>
            <w:r w:rsidRPr="00DE3EA6">
              <w:rPr>
                <w:sz w:val="18"/>
              </w:rPr>
              <w:t xml:space="preserve"> most at risk</w:t>
            </w:r>
          </w:p>
          <w:p w14:paraId="41C95CB7" w14:textId="77777777" w:rsidR="00711955" w:rsidRDefault="00711955" w:rsidP="0087116C">
            <w:pPr>
              <w:widowControl w:val="0"/>
              <w:numPr>
                <w:ilvl w:val="0"/>
                <w:numId w:val="3"/>
              </w:numPr>
              <w:spacing w:after="0" w:line="360" w:lineRule="auto"/>
              <w:rPr>
                <w:sz w:val="18"/>
              </w:rPr>
            </w:pPr>
            <w:r>
              <w:rPr>
                <w:sz w:val="18"/>
              </w:rPr>
              <w:t>Referral by HSE or other community partners for assertive outreach support</w:t>
            </w:r>
          </w:p>
          <w:p w14:paraId="64F6AA4D" w14:textId="77777777" w:rsidR="00711955" w:rsidRPr="001D4D71" w:rsidRDefault="00711955" w:rsidP="0087116C">
            <w:pPr>
              <w:widowControl w:val="0"/>
              <w:numPr>
                <w:ilvl w:val="0"/>
                <w:numId w:val="3"/>
              </w:numPr>
              <w:spacing w:after="0" w:line="360" w:lineRule="auto"/>
              <w:rPr>
                <w:sz w:val="18"/>
              </w:rPr>
            </w:pPr>
            <w:r w:rsidRPr="001D4D71">
              <w:rPr>
                <w:sz w:val="18"/>
              </w:rPr>
              <w:t xml:space="preserve">Referral by Tusla or identified as families dealing with parental substance use and children </w:t>
            </w:r>
          </w:p>
          <w:p w14:paraId="65F0334C" w14:textId="77777777" w:rsidR="00711955" w:rsidRPr="001D4D71" w:rsidRDefault="00711955" w:rsidP="0087116C">
            <w:pPr>
              <w:widowControl w:val="0"/>
              <w:numPr>
                <w:ilvl w:val="0"/>
                <w:numId w:val="3"/>
              </w:numPr>
              <w:spacing w:after="0" w:line="360" w:lineRule="auto"/>
              <w:rPr>
                <w:sz w:val="18"/>
              </w:rPr>
            </w:pPr>
            <w:r w:rsidRPr="001D4D71">
              <w:rPr>
                <w:sz w:val="18"/>
              </w:rPr>
              <w:t>DNAs / referral from</w:t>
            </w:r>
            <w:r>
              <w:rPr>
                <w:sz w:val="18"/>
              </w:rPr>
              <w:t xml:space="preserve"> HSE m</w:t>
            </w:r>
            <w:r w:rsidRPr="001D4D71">
              <w:rPr>
                <w:sz w:val="18"/>
              </w:rPr>
              <w:t>ethadone clinic due</w:t>
            </w:r>
            <w:r>
              <w:rPr>
                <w:sz w:val="18"/>
              </w:rPr>
              <w:t xml:space="preserve"> to health issues </w:t>
            </w:r>
          </w:p>
          <w:p w14:paraId="4AECD6F5" w14:textId="77777777" w:rsidR="00711955" w:rsidRPr="00315548" w:rsidRDefault="00711955" w:rsidP="0087116C">
            <w:pPr>
              <w:widowControl w:val="0"/>
              <w:numPr>
                <w:ilvl w:val="0"/>
                <w:numId w:val="3"/>
              </w:numPr>
              <w:spacing w:after="0" w:line="360" w:lineRule="auto"/>
              <w:rPr>
                <w:sz w:val="18"/>
              </w:rPr>
            </w:pPr>
            <w:r>
              <w:rPr>
                <w:sz w:val="18"/>
              </w:rPr>
              <w:t>Those whose tenancies are at risk due to crack cocaine use</w:t>
            </w:r>
          </w:p>
        </w:tc>
      </w:tr>
      <w:tr w:rsidR="00711955" w:rsidRPr="001D4D71" w14:paraId="43B14BEE" w14:textId="77777777" w:rsidTr="00E63B0F">
        <w:trPr>
          <w:trHeight w:val="647"/>
        </w:trPr>
        <w:tc>
          <w:tcPr>
            <w:tcW w:w="9214" w:type="dxa"/>
            <w:shd w:val="clear" w:color="auto" w:fill="auto"/>
            <w:tcMar>
              <w:top w:w="100" w:type="dxa"/>
              <w:left w:w="100" w:type="dxa"/>
              <w:bottom w:w="100" w:type="dxa"/>
              <w:right w:w="100" w:type="dxa"/>
            </w:tcMar>
          </w:tcPr>
          <w:p w14:paraId="2D80DD29" w14:textId="3D698E84" w:rsidR="00711955" w:rsidRPr="001D4D71" w:rsidRDefault="001C7192" w:rsidP="0087116C">
            <w:pPr>
              <w:widowControl w:val="0"/>
              <w:spacing w:after="0" w:line="360" w:lineRule="auto"/>
              <w:rPr>
                <w:sz w:val="18"/>
              </w:rPr>
            </w:pPr>
            <w:r>
              <w:rPr>
                <w:sz w:val="18"/>
              </w:rPr>
              <w:t xml:space="preserve">We will </w:t>
            </w:r>
            <w:r w:rsidRPr="001D4D71">
              <w:rPr>
                <w:sz w:val="18"/>
              </w:rPr>
              <w:t xml:space="preserve"> </w:t>
            </w:r>
            <w:r w:rsidR="00711955" w:rsidRPr="001D4D71">
              <w:rPr>
                <w:sz w:val="18"/>
              </w:rPr>
              <w:t xml:space="preserve">review the </w:t>
            </w:r>
            <w:r w:rsidR="00711955">
              <w:rPr>
                <w:sz w:val="18"/>
              </w:rPr>
              <w:t xml:space="preserve">crack-cocaine </w:t>
            </w:r>
            <w:r w:rsidR="00711955" w:rsidRPr="001D4D71">
              <w:rPr>
                <w:sz w:val="18"/>
              </w:rPr>
              <w:t xml:space="preserve">assertive outreach service with referral agents after 12 months to </w:t>
            </w:r>
            <w:r w:rsidR="00711955">
              <w:rPr>
                <w:sz w:val="18"/>
              </w:rPr>
              <w:t>improve how it wor</w:t>
            </w:r>
            <w:r w:rsidR="0055349E">
              <w:rPr>
                <w:sz w:val="18"/>
              </w:rPr>
              <w:t>k</w:t>
            </w:r>
            <w:r w:rsidR="00711955">
              <w:rPr>
                <w:sz w:val="18"/>
              </w:rPr>
              <w:t xml:space="preserve">s, </w:t>
            </w:r>
            <w:r w:rsidR="00711955" w:rsidRPr="001D4D71">
              <w:rPr>
                <w:sz w:val="18"/>
              </w:rPr>
              <w:t xml:space="preserve">understand </w:t>
            </w:r>
            <w:r w:rsidR="00711955">
              <w:rPr>
                <w:sz w:val="18"/>
              </w:rPr>
              <w:t>programme</w:t>
            </w:r>
            <w:r w:rsidR="00711955" w:rsidRPr="001D4D71">
              <w:rPr>
                <w:sz w:val="18"/>
              </w:rPr>
              <w:t xml:space="preserve"> effectiveness and to </w:t>
            </w:r>
            <w:r w:rsidR="00711955">
              <w:rPr>
                <w:sz w:val="18"/>
              </w:rPr>
              <w:t xml:space="preserve">engage funders in a sustainability plan for its </w:t>
            </w:r>
            <w:r w:rsidR="00711955" w:rsidRPr="001D4D71">
              <w:rPr>
                <w:sz w:val="18"/>
              </w:rPr>
              <w:t>continuation</w:t>
            </w:r>
            <w:r w:rsidR="00711955">
              <w:rPr>
                <w:sz w:val="18"/>
              </w:rPr>
              <w:t>, if it is judged as successful.</w:t>
            </w:r>
          </w:p>
        </w:tc>
      </w:tr>
    </w:tbl>
    <w:p w14:paraId="46858630" w14:textId="77777777" w:rsidR="004C41DB" w:rsidRDefault="004C41DB" w:rsidP="0087116C">
      <w:pPr>
        <w:spacing w:after="0" w:line="360" w:lineRule="auto"/>
        <w:rPr>
          <w:b/>
          <w:sz w:val="18"/>
        </w:rPr>
      </w:pPr>
    </w:p>
    <w:p w14:paraId="08FF6A01" w14:textId="77777777" w:rsidR="004C41DB" w:rsidRPr="001D4D71" w:rsidRDefault="004C41DB" w:rsidP="0087116C">
      <w:pPr>
        <w:spacing w:after="0" w:line="360" w:lineRule="auto"/>
        <w:rPr>
          <w:b/>
          <w:sz w:val="18"/>
        </w:rPr>
      </w:pPr>
      <w:r w:rsidRPr="001D4D71">
        <w:rPr>
          <w:b/>
          <w:sz w:val="18"/>
        </w:rPr>
        <w:t>Key Performance Indicators (How we will know we have been successful)</w:t>
      </w:r>
    </w:p>
    <w:p w14:paraId="4992510D" w14:textId="21ABA395" w:rsidR="004C41DB" w:rsidRDefault="004C41DB" w:rsidP="0087116C">
      <w:pPr>
        <w:numPr>
          <w:ilvl w:val="0"/>
          <w:numId w:val="6"/>
        </w:numPr>
        <w:spacing w:after="0" w:line="360" w:lineRule="auto"/>
        <w:rPr>
          <w:sz w:val="18"/>
        </w:rPr>
      </w:pPr>
      <w:r w:rsidRPr="001D4D71">
        <w:rPr>
          <w:sz w:val="18"/>
        </w:rPr>
        <w:t xml:space="preserve">Did not </w:t>
      </w:r>
      <w:r w:rsidR="009001B6" w:rsidRPr="001D4D71">
        <w:rPr>
          <w:sz w:val="18"/>
        </w:rPr>
        <w:t>attend</w:t>
      </w:r>
      <w:r w:rsidR="009001B6">
        <w:rPr>
          <w:sz w:val="18"/>
        </w:rPr>
        <w:t>s</w:t>
      </w:r>
      <w:r w:rsidRPr="001D4D71">
        <w:rPr>
          <w:sz w:val="18"/>
        </w:rPr>
        <w:t xml:space="preserve"> are reduced by 25%</w:t>
      </w:r>
      <w:r>
        <w:rPr>
          <w:sz w:val="18"/>
        </w:rPr>
        <w:t xml:space="preserve"> for the most at risk families</w:t>
      </w:r>
    </w:p>
    <w:p w14:paraId="0D3C2B67" w14:textId="134C12CF" w:rsidR="004C41DB" w:rsidRPr="001D4D71" w:rsidRDefault="004C41DB" w:rsidP="0087116C">
      <w:pPr>
        <w:numPr>
          <w:ilvl w:val="0"/>
          <w:numId w:val="6"/>
        </w:numPr>
        <w:spacing w:after="0" w:line="360" w:lineRule="auto"/>
        <w:rPr>
          <w:sz w:val="18"/>
        </w:rPr>
      </w:pPr>
      <w:r>
        <w:rPr>
          <w:sz w:val="18"/>
        </w:rPr>
        <w:t xml:space="preserve">Tusla referrals result in children being maintained in the </w:t>
      </w:r>
      <w:r w:rsidR="009001B6">
        <w:rPr>
          <w:sz w:val="18"/>
        </w:rPr>
        <w:t>family.</w:t>
      </w:r>
    </w:p>
    <w:p w14:paraId="5859D36D" w14:textId="7A1A2A29" w:rsidR="004C41DB" w:rsidRDefault="004C41DB" w:rsidP="0087116C">
      <w:pPr>
        <w:numPr>
          <w:ilvl w:val="0"/>
          <w:numId w:val="6"/>
        </w:numPr>
        <w:spacing w:after="0" w:line="360" w:lineRule="auto"/>
        <w:rPr>
          <w:sz w:val="18"/>
        </w:rPr>
      </w:pPr>
      <w:r w:rsidRPr="001D4D71">
        <w:rPr>
          <w:sz w:val="18"/>
        </w:rPr>
        <w:t xml:space="preserve">The service is able to maintain contact with the most at risk </w:t>
      </w:r>
      <w:r w:rsidR="009001B6" w:rsidRPr="001D4D71">
        <w:rPr>
          <w:sz w:val="18"/>
        </w:rPr>
        <w:t>individuals.</w:t>
      </w:r>
    </w:p>
    <w:p w14:paraId="5DC02EBB" w14:textId="77777777" w:rsidR="00151A3A" w:rsidRDefault="00151A3A" w:rsidP="0087116C">
      <w:pPr>
        <w:pStyle w:val="Heading3"/>
      </w:pPr>
    </w:p>
    <w:p w14:paraId="3911C6B2" w14:textId="007FAB96" w:rsidR="00711955" w:rsidRDefault="000C6F4E" w:rsidP="00581306">
      <w:pPr>
        <w:pStyle w:val="Heading3"/>
        <w:rPr>
          <w:b/>
          <w:sz w:val="18"/>
        </w:rPr>
      </w:pPr>
      <w:r>
        <w:t xml:space="preserve">5.2.2 </w:t>
      </w:r>
      <w:r w:rsidR="00711955" w:rsidRPr="005D60AB">
        <w:t>Action</w:t>
      </w:r>
      <w:r w:rsidR="00C56DE4">
        <w:t xml:space="preserve"> 7</w:t>
      </w:r>
      <w:r w:rsidR="00711955" w:rsidRPr="005D60AB">
        <w:t xml:space="preserve">: </w:t>
      </w:r>
      <w:r w:rsidR="00385C4E">
        <w:t xml:space="preserve">Identify how transport and technology can best support assertive outreach </w:t>
      </w:r>
      <w:r w:rsidR="009001B6">
        <w:t>models.</w:t>
      </w:r>
      <w:r w:rsidR="00385C4E" w:rsidRPr="002659F4" w:rsidDel="00711955">
        <w:rPr>
          <w:b/>
          <w:sz w:val="18"/>
        </w:rPr>
        <w:t xml:space="preserve"> </w:t>
      </w:r>
    </w:p>
    <w:tbl>
      <w:tblPr>
        <w:tblStyle w:val="5"/>
        <w:tblW w:w="9214"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711955" w:rsidRPr="001D4D71" w14:paraId="343B9139" w14:textId="77777777" w:rsidTr="00E63B0F">
        <w:trPr>
          <w:trHeight w:val="921"/>
        </w:trPr>
        <w:tc>
          <w:tcPr>
            <w:tcW w:w="9214" w:type="dxa"/>
            <w:shd w:val="clear" w:color="auto" w:fill="auto"/>
            <w:tcMar>
              <w:top w:w="100" w:type="dxa"/>
              <w:left w:w="100" w:type="dxa"/>
              <w:bottom w:w="100" w:type="dxa"/>
              <w:right w:w="100" w:type="dxa"/>
            </w:tcMar>
          </w:tcPr>
          <w:p w14:paraId="72F69260" w14:textId="42578778" w:rsidR="00711955" w:rsidRPr="00CA5F4F" w:rsidRDefault="00385C4E" w:rsidP="0087116C">
            <w:pPr>
              <w:spacing w:after="0" w:line="360" w:lineRule="auto"/>
              <w:rPr>
                <w:sz w:val="18"/>
              </w:rPr>
            </w:pPr>
            <w:r>
              <w:rPr>
                <w:sz w:val="18"/>
              </w:rPr>
              <w:t>Undertake a review o</w:t>
            </w:r>
            <w:r w:rsidR="001A2AF6">
              <w:rPr>
                <w:sz w:val="18"/>
              </w:rPr>
              <w:t>f</w:t>
            </w:r>
            <w:r>
              <w:rPr>
                <w:sz w:val="18"/>
              </w:rPr>
              <w:t xml:space="preserve"> local and, where appropriate, international models to assess</w:t>
            </w:r>
            <w:r w:rsidR="00711955" w:rsidRPr="00CA5F4F">
              <w:rPr>
                <w:sz w:val="18"/>
              </w:rPr>
              <w:t xml:space="preserve"> the </w:t>
            </w:r>
            <w:r w:rsidR="00711955">
              <w:rPr>
                <w:sz w:val="18"/>
              </w:rPr>
              <w:t xml:space="preserve">transport and technology </w:t>
            </w:r>
            <w:r w:rsidR="00711955" w:rsidRPr="00CA5F4F">
              <w:rPr>
                <w:sz w:val="18"/>
              </w:rPr>
              <w:t xml:space="preserve">challenges </w:t>
            </w:r>
            <w:r>
              <w:rPr>
                <w:sz w:val="18"/>
              </w:rPr>
              <w:t xml:space="preserve">of </w:t>
            </w:r>
            <w:r w:rsidR="00711955" w:rsidRPr="00CA5F4F">
              <w:rPr>
                <w:sz w:val="18"/>
              </w:rPr>
              <w:t>delivering a</w:t>
            </w:r>
            <w:r w:rsidR="000D51C3">
              <w:rPr>
                <w:sz w:val="18"/>
              </w:rPr>
              <w:t>n</w:t>
            </w:r>
            <w:r w:rsidR="00711955" w:rsidRPr="00CA5F4F">
              <w:rPr>
                <w:sz w:val="18"/>
              </w:rPr>
              <w:t xml:space="preserve"> assertive outreach service, </w:t>
            </w:r>
            <w:r>
              <w:rPr>
                <w:sz w:val="18"/>
              </w:rPr>
              <w:t>identifying solutions that can assist staff with</w:t>
            </w:r>
            <w:r w:rsidR="00711955" w:rsidRPr="00CA5F4F">
              <w:rPr>
                <w:sz w:val="18"/>
              </w:rPr>
              <w:t xml:space="preserve">: </w:t>
            </w:r>
          </w:p>
          <w:p w14:paraId="785A594B" w14:textId="4EF09F48" w:rsidR="00711955" w:rsidRPr="00CA5F4F" w:rsidRDefault="00385C4E" w:rsidP="0087116C">
            <w:pPr>
              <w:pStyle w:val="ListParagraph"/>
              <w:numPr>
                <w:ilvl w:val="0"/>
                <w:numId w:val="3"/>
              </w:numPr>
              <w:spacing w:after="0" w:line="360" w:lineRule="auto"/>
              <w:rPr>
                <w:sz w:val="18"/>
              </w:rPr>
            </w:pPr>
            <w:r>
              <w:rPr>
                <w:sz w:val="18"/>
              </w:rPr>
              <w:t>C</w:t>
            </w:r>
            <w:r w:rsidR="00711955" w:rsidRPr="00CA5F4F">
              <w:rPr>
                <w:sz w:val="18"/>
              </w:rPr>
              <w:t>ollect</w:t>
            </w:r>
            <w:r w:rsidR="002E1505">
              <w:rPr>
                <w:sz w:val="18"/>
              </w:rPr>
              <w:t>ing</w:t>
            </w:r>
            <w:r w:rsidR="00711955" w:rsidRPr="00CA5F4F">
              <w:rPr>
                <w:sz w:val="18"/>
              </w:rPr>
              <w:t xml:space="preserve"> personal information in the street environment </w:t>
            </w:r>
          </w:p>
          <w:p w14:paraId="3D208C28" w14:textId="4A1C7B0D" w:rsidR="00711955" w:rsidRPr="00CA5F4F" w:rsidRDefault="00385C4E" w:rsidP="0087116C">
            <w:pPr>
              <w:pStyle w:val="ListParagraph"/>
              <w:numPr>
                <w:ilvl w:val="0"/>
                <w:numId w:val="3"/>
              </w:numPr>
              <w:spacing w:line="360" w:lineRule="auto"/>
              <w:rPr>
                <w:sz w:val="18"/>
              </w:rPr>
            </w:pPr>
            <w:r>
              <w:rPr>
                <w:sz w:val="18"/>
              </w:rPr>
              <w:t>F</w:t>
            </w:r>
            <w:r w:rsidR="00711955" w:rsidRPr="00CA5F4F">
              <w:rPr>
                <w:sz w:val="18"/>
              </w:rPr>
              <w:t>acilitat</w:t>
            </w:r>
            <w:r>
              <w:rPr>
                <w:sz w:val="18"/>
              </w:rPr>
              <w:t>ing</w:t>
            </w:r>
            <w:r w:rsidR="00711955" w:rsidRPr="00CA5F4F">
              <w:rPr>
                <w:sz w:val="18"/>
              </w:rPr>
              <w:t xml:space="preserve"> the safe distribution of harm reduction equipment, and record</w:t>
            </w:r>
            <w:r>
              <w:rPr>
                <w:sz w:val="18"/>
              </w:rPr>
              <w:t>ing</w:t>
            </w:r>
            <w:r w:rsidR="00711955" w:rsidRPr="00CA5F4F">
              <w:rPr>
                <w:sz w:val="18"/>
              </w:rPr>
              <w:t xml:space="preserve"> same </w:t>
            </w:r>
          </w:p>
          <w:p w14:paraId="24ADA264" w14:textId="085DA911" w:rsidR="00711955" w:rsidRPr="00652DA5" w:rsidRDefault="00385C4E" w:rsidP="0087116C">
            <w:pPr>
              <w:pStyle w:val="ListParagraph"/>
              <w:numPr>
                <w:ilvl w:val="0"/>
                <w:numId w:val="3"/>
              </w:numPr>
              <w:spacing w:line="360" w:lineRule="auto"/>
              <w:rPr>
                <w:sz w:val="18"/>
              </w:rPr>
            </w:pPr>
            <w:r>
              <w:rPr>
                <w:sz w:val="18"/>
              </w:rPr>
              <w:t>Transportation for home visits</w:t>
            </w:r>
          </w:p>
        </w:tc>
      </w:tr>
    </w:tbl>
    <w:p w14:paraId="56883FA2" w14:textId="43FE051D" w:rsidR="00711955" w:rsidRDefault="00711955" w:rsidP="0087116C">
      <w:pPr>
        <w:spacing w:after="0" w:line="360" w:lineRule="auto"/>
        <w:rPr>
          <w:b/>
          <w:sz w:val="18"/>
        </w:rPr>
      </w:pPr>
    </w:p>
    <w:p w14:paraId="7EB9422E" w14:textId="77777777" w:rsidR="004C41DB" w:rsidRDefault="004C41DB" w:rsidP="0087116C">
      <w:pPr>
        <w:spacing w:after="0" w:line="360" w:lineRule="auto"/>
        <w:rPr>
          <w:b/>
          <w:sz w:val="18"/>
        </w:rPr>
      </w:pPr>
      <w:r w:rsidRPr="002659F4">
        <w:rPr>
          <w:b/>
          <w:sz w:val="18"/>
        </w:rPr>
        <w:t>Key Performance Indicators (How we will know we have been successful</w:t>
      </w:r>
      <w:r>
        <w:rPr>
          <w:b/>
          <w:sz w:val="18"/>
        </w:rPr>
        <w:t>):</w:t>
      </w:r>
    </w:p>
    <w:p w14:paraId="03170C85" w14:textId="040072A6" w:rsidR="00711955" w:rsidRPr="00581306" w:rsidRDefault="00385C4E" w:rsidP="00581306">
      <w:pPr>
        <w:pStyle w:val="ListParagraph"/>
        <w:numPr>
          <w:ilvl w:val="0"/>
          <w:numId w:val="3"/>
        </w:numPr>
        <w:spacing w:after="0" w:line="360" w:lineRule="auto"/>
        <w:rPr>
          <w:bCs/>
          <w:sz w:val="18"/>
        </w:rPr>
      </w:pPr>
      <w:r w:rsidRPr="00581306">
        <w:rPr>
          <w:bCs/>
          <w:sz w:val="18"/>
        </w:rPr>
        <w:t xml:space="preserve">Costed proposals for service developed are developed for innovations which will enhance the assertive outreach </w:t>
      </w:r>
      <w:r w:rsidR="009001B6" w:rsidRPr="00581306">
        <w:rPr>
          <w:bCs/>
          <w:sz w:val="18"/>
        </w:rPr>
        <w:t>programme.</w:t>
      </w:r>
    </w:p>
    <w:p w14:paraId="545FFA36" w14:textId="77777777" w:rsidR="00D47C3F" w:rsidRPr="00165571" w:rsidRDefault="00D47C3F" w:rsidP="0087116C">
      <w:pPr>
        <w:pStyle w:val="ListParagraph"/>
        <w:spacing w:after="0" w:line="360" w:lineRule="auto"/>
        <w:rPr>
          <w:b/>
          <w:sz w:val="18"/>
        </w:rPr>
      </w:pPr>
    </w:p>
    <w:p w14:paraId="57ABD330" w14:textId="42F9176A" w:rsidR="00711955" w:rsidRPr="004C41DB" w:rsidRDefault="009F589F" w:rsidP="00581306">
      <w:pPr>
        <w:pStyle w:val="Heading2"/>
        <w:numPr>
          <w:ilvl w:val="0"/>
          <w:numId w:val="0"/>
        </w:numPr>
        <w:rPr>
          <w:lang w:val="en-GB"/>
        </w:rPr>
      </w:pPr>
      <w:bookmarkStart w:id="74" w:name="_Toc117669534"/>
      <w:bookmarkStart w:id="75" w:name="_Toc117669677"/>
      <w:bookmarkStart w:id="76" w:name="_Toc117669535"/>
      <w:bookmarkStart w:id="77" w:name="_Toc117669678"/>
      <w:bookmarkStart w:id="78" w:name="_Toc117669536"/>
      <w:bookmarkStart w:id="79" w:name="_Toc117669679"/>
      <w:bookmarkStart w:id="80" w:name="_Toc117669537"/>
      <w:bookmarkStart w:id="81" w:name="_Toc117669680"/>
      <w:bookmarkStart w:id="82" w:name="_Toc124260297"/>
      <w:bookmarkStart w:id="83" w:name="_Toc117669711"/>
      <w:bookmarkEnd w:id="74"/>
      <w:bookmarkEnd w:id="75"/>
      <w:bookmarkEnd w:id="76"/>
      <w:bookmarkEnd w:id="77"/>
      <w:bookmarkEnd w:id="78"/>
      <w:bookmarkEnd w:id="79"/>
      <w:bookmarkEnd w:id="80"/>
      <w:bookmarkEnd w:id="81"/>
      <w:r>
        <w:t xml:space="preserve">5.3 </w:t>
      </w:r>
      <w:r w:rsidR="004C41DB">
        <w:t>Explore Social Enterprise &amp; Other Options to Enhance Client Progression</w:t>
      </w:r>
      <w:bookmarkEnd w:id="82"/>
    </w:p>
    <w:p w14:paraId="70A0809E" w14:textId="6BF822AF" w:rsidR="000E63BE" w:rsidRPr="005D60AB" w:rsidRDefault="009F589F" w:rsidP="0087116C">
      <w:pPr>
        <w:pStyle w:val="Heading3"/>
      </w:pPr>
      <w:bookmarkStart w:id="84" w:name="_Toc117669712"/>
      <w:bookmarkEnd w:id="83"/>
      <w:r>
        <w:t xml:space="preserve">5.3.1 </w:t>
      </w:r>
      <w:r w:rsidR="00340472" w:rsidRPr="005D60AB">
        <w:t xml:space="preserve">Action </w:t>
      </w:r>
      <w:r w:rsidR="00C56DE4">
        <w:t>8</w:t>
      </w:r>
      <w:r w:rsidR="00340472" w:rsidRPr="005D60AB">
        <w:t>:</w:t>
      </w:r>
      <w:r w:rsidR="007F77CE" w:rsidRPr="005D60AB">
        <w:t xml:space="preserve"> </w:t>
      </w:r>
      <w:r w:rsidR="004C41DB">
        <w:t>Review the potential for local WISE</w:t>
      </w:r>
      <w:r w:rsidR="00385C4E">
        <w:t xml:space="preserve"> to provide additional progression routes</w:t>
      </w:r>
      <w:bookmarkEnd w:id="84"/>
    </w:p>
    <w:tbl>
      <w:tblPr>
        <w:tblStyle w:val="3"/>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620F35" w:rsidRPr="001D4D71" w14:paraId="1B521DA2" w14:textId="77777777" w:rsidTr="00581306">
        <w:trPr>
          <w:trHeight w:val="897"/>
        </w:trPr>
        <w:tc>
          <w:tcPr>
            <w:tcW w:w="9062" w:type="dxa"/>
            <w:shd w:val="clear" w:color="auto" w:fill="auto"/>
            <w:tcMar>
              <w:top w:w="100" w:type="dxa"/>
              <w:left w:w="100" w:type="dxa"/>
              <w:bottom w:w="100" w:type="dxa"/>
              <w:right w:w="100" w:type="dxa"/>
            </w:tcMar>
          </w:tcPr>
          <w:p w14:paraId="752B9729" w14:textId="61B0D19D" w:rsidR="00620F35" w:rsidRDefault="00620F35" w:rsidP="0087116C">
            <w:pPr>
              <w:widowControl w:val="0"/>
              <w:spacing w:after="0" w:line="360" w:lineRule="auto"/>
              <w:rPr>
                <w:sz w:val="18"/>
              </w:rPr>
            </w:pPr>
            <w:r>
              <w:rPr>
                <w:color w:val="000000" w:themeColor="text1"/>
                <w:sz w:val="18"/>
              </w:rPr>
              <w:t>Establish</w:t>
            </w:r>
            <w:r w:rsidRPr="007A2C03">
              <w:rPr>
                <w:color w:val="000000" w:themeColor="text1"/>
                <w:sz w:val="18"/>
              </w:rPr>
              <w:t xml:space="preserve"> a steering group to review </w:t>
            </w:r>
            <w:r>
              <w:rPr>
                <w:color w:val="000000" w:themeColor="text1"/>
                <w:sz w:val="18"/>
              </w:rPr>
              <w:t xml:space="preserve">whether a </w:t>
            </w:r>
            <w:r w:rsidRPr="007A2C03">
              <w:rPr>
                <w:color w:val="000000" w:themeColor="text1"/>
                <w:sz w:val="18"/>
              </w:rPr>
              <w:t>W</w:t>
            </w:r>
            <w:r>
              <w:rPr>
                <w:color w:val="000000" w:themeColor="text1"/>
                <w:sz w:val="18"/>
              </w:rPr>
              <w:t xml:space="preserve">ork Integration </w:t>
            </w:r>
            <w:r w:rsidRPr="007A2C03">
              <w:rPr>
                <w:color w:val="000000" w:themeColor="text1"/>
                <w:sz w:val="18"/>
              </w:rPr>
              <w:t>S</w:t>
            </w:r>
            <w:r>
              <w:rPr>
                <w:color w:val="000000" w:themeColor="text1"/>
                <w:sz w:val="18"/>
              </w:rPr>
              <w:t xml:space="preserve">ocial </w:t>
            </w:r>
            <w:r w:rsidRPr="007A2C03">
              <w:rPr>
                <w:color w:val="000000" w:themeColor="text1"/>
                <w:sz w:val="18"/>
              </w:rPr>
              <w:t>E</w:t>
            </w:r>
            <w:r>
              <w:rPr>
                <w:color w:val="000000" w:themeColor="text1"/>
                <w:sz w:val="18"/>
              </w:rPr>
              <w:t xml:space="preserve">nterprise (WISE) is a useful model for JADD and the local area, and how this could function, as well as what business activities it could undertake. </w:t>
            </w:r>
            <w:r w:rsidR="00385C4E">
              <w:rPr>
                <w:color w:val="000000" w:themeColor="text1"/>
                <w:sz w:val="18"/>
              </w:rPr>
              <w:t>To e</w:t>
            </w:r>
            <w:r>
              <w:rPr>
                <w:color w:val="000000" w:themeColor="text1"/>
                <w:sz w:val="18"/>
              </w:rPr>
              <w:t xml:space="preserve">ngage </w:t>
            </w:r>
            <w:r w:rsidRPr="00165571">
              <w:rPr>
                <w:color w:val="000000" w:themeColor="text1"/>
                <w:sz w:val="18"/>
              </w:rPr>
              <w:t>Partas,</w:t>
            </w:r>
            <w:r>
              <w:rPr>
                <w:color w:val="000000" w:themeColor="text1"/>
                <w:sz w:val="18"/>
              </w:rPr>
              <w:t xml:space="preserve"> South Dublin County Partnership, and other relevant partners in these discussions</w:t>
            </w:r>
            <w:r w:rsidRPr="002979C6">
              <w:rPr>
                <w:rStyle w:val="FootnoteReference"/>
                <w:color w:val="000000" w:themeColor="text1"/>
                <w:sz w:val="18"/>
              </w:rPr>
              <w:footnoteReference w:id="10"/>
            </w:r>
            <w:r w:rsidR="00385C4E">
              <w:rPr>
                <w:color w:val="000000" w:themeColor="text1"/>
                <w:sz w:val="18"/>
              </w:rPr>
              <w:t>.</w:t>
            </w:r>
          </w:p>
        </w:tc>
      </w:tr>
      <w:tr w:rsidR="00620F35" w:rsidRPr="001D4D71" w14:paraId="18BD8512" w14:textId="77777777" w:rsidTr="00581306">
        <w:tc>
          <w:tcPr>
            <w:tcW w:w="9062" w:type="dxa"/>
            <w:shd w:val="clear" w:color="auto" w:fill="auto"/>
            <w:tcMar>
              <w:top w:w="100" w:type="dxa"/>
              <w:left w:w="100" w:type="dxa"/>
              <w:bottom w:w="100" w:type="dxa"/>
              <w:right w:w="100" w:type="dxa"/>
            </w:tcMar>
          </w:tcPr>
          <w:p w14:paraId="38478D72" w14:textId="75D756AE" w:rsidR="00620F35" w:rsidRPr="001D4D71" w:rsidRDefault="00620F35" w:rsidP="0087116C">
            <w:pPr>
              <w:widowControl w:val="0"/>
              <w:spacing w:after="0" w:line="360" w:lineRule="auto"/>
              <w:rPr>
                <w:sz w:val="18"/>
              </w:rPr>
            </w:pPr>
            <w:r>
              <w:rPr>
                <w:sz w:val="18"/>
              </w:rPr>
              <w:t>If it agreed as a local priority, t</w:t>
            </w:r>
            <w:r w:rsidRPr="001D4D71">
              <w:rPr>
                <w:sz w:val="18"/>
              </w:rPr>
              <w:t xml:space="preserve">o </w:t>
            </w:r>
            <w:r>
              <w:rPr>
                <w:sz w:val="18"/>
              </w:rPr>
              <w:t xml:space="preserve">apply for </w:t>
            </w:r>
            <w:r w:rsidRPr="001D4D71">
              <w:rPr>
                <w:sz w:val="18"/>
              </w:rPr>
              <w:t>a feasibility study to be funded through the Kickstart programme</w:t>
            </w:r>
            <w:r w:rsidR="00385C4E">
              <w:rPr>
                <w:sz w:val="18"/>
              </w:rPr>
              <w:t xml:space="preserve"> (or similar)</w:t>
            </w:r>
            <w:r>
              <w:rPr>
                <w:sz w:val="18"/>
              </w:rPr>
              <w:t xml:space="preserve"> to advance a particular business idea, with the a goal of providing work place training</w:t>
            </w:r>
            <w:r w:rsidRPr="001D4D71">
              <w:rPr>
                <w:sz w:val="18"/>
              </w:rPr>
              <w:t>.</w:t>
            </w:r>
          </w:p>
        </w:tc>
      </w:tr>
    </w:tbl>
    <w:p w14:paraId="39A6B79D" w14:textId="77777777" w:rsidR="00472281" w:rsidRDefault="00472281" w:rsidP="0087116C">
      <w:pPr>
        <w:spacing w:after="0" w:line="360" w:lineRule="auto"/>
      </w:pPr>
    </w:p>
    <w:p w14:paraId="4BDEE517" w14:textId="77777777" w:rsidR="00472281" w:rsidRDefault="007F77CE" w:rsidP="0087116C">
      <w:pPr>
        <w:spacing w:after="0" w:line="360" w:lineRule="auto"/>
        <w:rPr>
          <w:b/>
        </w:rPr>
      </w:pPr>
      <w:r w:rsidRPr="002659F4">
        <w:rPr>
          <w:b/>
          <w:sz w:val="18"/>
        </w:rPr>
        <w:t>Key Performance Indicators (How we will know we have been successful)</w:t>
      </w:r>
    </w:p>
    <w:p w14:paraId="41078224" w14:textId="1346BF10" w:rsidR="00472281" w:rsidRPr="00581306" w:rsidRDefault="007F77CE" w:rsidP="00581306">
      <w:pPr>
        <w:pStyle w:val="ListParagraph"/>
        <w:numPr>
          <w:ilvl w:val="0"/>
          <w:numId w:val="42"/>
        </w:numPr>
        <w:spacing w:after="0" w:line="360" w:lineRule="auto"/>
        <w:rPr>
          <w:bCs/>
          <w:sz w:val="18"/>
        </w:rPr>
      </w:pPr>
      <w:r w:rsidRPr="00581306">
        <w:rPr>
          <w:bCs/>
          <w:sz w:val="18"/>
        </w:rPr>
        <w:t xml:space="preserve">A </w:t>
      </w:r>
      <w:r w:rsidR="00D47C3F" w:rsidRPr="00581306">
        <w:rPr>
          <w:bCs/>
          <w:sz w:val="18"/>
        </w:rPr>
        <w:t xml:space="preserve">local </w:t>
      </w:r>
      <w:r w:rsidRPr="00581306">
        <w:rPr>
          <w:bCs/>
          <w:sz w:val="18"/>
        </w:rPr>
        <w:t xml:space="preserve">decision </w:t>
      </w:r>
      <w:r w:rsidR="00AF7F47" w:rsidRPr="00581306">
        <w:rPr>
          <w:bCs/>
          <w:sz w:val="18"/>
        </w:rPr>
        <w:t xml:space="preserve">is </w:t>
      </w:r>
      <w:r w:rsidRPr="00581306">
        <w:rPr>
          <w:bCs/>
          <w:sz w:val="18"/>
        </w:rPr>
        <w:t xml:space="preserve">made as to whether to progress </w:t>
      </w:r>
      <w:r w:rsidR="00D47C3F" w:rsidRPr="00581306">
        <w:rPr>
          <w:bCs/>
          <w:sz w:val="18"/>
        </w:rPr>
        <w:t xml:space="preserve">to a </w:t>
      </w:r>
      <w:r w:rsidRPr="00581306">
        <w:rPr>
          <w:bCs/>
          <w:sz w:val="18"/>
        </w:rPr>
        <w:t xml:space="preserve">feasibility </w:t>
      </w:r>
      <w:r w:rsidR="009001B6" w:rsidRPr="00581306">
        <w:rPr>
          <w:bCs/>
          <w:sz w:val="18"/>
        </w:rPr>
        <w:t>study.</w:t>
      </w:r>
      <w:r w:rsidRPr="00581306">
        <w:rPr>
          <w:bCs/>
          <w:sz w:val="18"/>
        </w:rPr>
        <w:t xml:space="preserve"> </w:t>
      </w:r>
    </w:p>
    <w:p w14:paraId="0C1E7ECC" w14:textId="3FE65B23" w:rsidR="004C41DB" w:rsidRPr="00581306" w:rsidRDefault="004C41DB" w:rsidP="00581306">
      <w:pPr>
        <w:pStyle w:val="ListParagraph"/>
        <w:numPr>
          <w:ilvl w:val="0"/>
          <w:numId w:val="42"/>
        </w:numPr>
        <w:spacing w:after="0" w:line="360" w:lineRule="auto"/>
        <w:rPr>
          <w:bCs/>
          <w:sz w:val="18"/>
        </w:rPr>
      </w:pPr>
      <w:r w:rsidRPr="00581306">
        <w:rPr>
          <w:bCs/>
          <w:sz w:val="18"/>
        </w:rPr>
        <w:t xml:space="preserve">(If agreed) funding is raised </w:t>
      </w:r>
      <w:r>
        <w:rPr>
          <w:bCs/>
          <w:sz w:val="18"/>
        </w:rPr>
        <w:t xml:space="preserve">and a </w:t>
      </w:r>
      <w:r w:rsidRPr="00581306">
        <w:rPr>
          <w:bCs/>
          <w:sz w:val="18"/>
        </w:rPr>
        <w:t>feasibility study</w:t>
      </w:r>
      <w:r>
        <w:rPr>
          <w:bCs/>
          <w:sz w:val="18"/>
        </w:rPr>
        <w:t xml:space="preserve"> is completed</w:t>
      </w:r>
    </w:p>
    <w:p w14:paraId="65119AC6" w14:textId="77777777" w:rsidR="00620F35" w:rsidRPr="00620F35" w:rsidRDefault="00620F35" w:rsidP="00581306">
      <w:pPr>
        <w:spacing w:line="360" w:lineRule="auto"/>
      </w:pPr>
      <w:bookmarkStart w:id="85" w:name="_Toc117669713"/>
    </w:p>
    <w:p w14:paraId="3C990FEA" w14:textId="1E8559C9" w:rsidR="00213E8D" w:rsidRPr="005D60AB" w:rsidRDefault="009F589F" w:rsidP="0087116C">
      <w:pPr>
        <w:pStyle w:val="Heading3"/>
        <w:rPr>
          <w:rFonts w:eastAsia="Century Gothic" w:cs="Century Gothic"/>
        </w:rPr>
      </w:pPr>
      <w:r>
        <w:t xml:space="preserve">5.3.2 </w:t>
      </w:r>
      <w:r w:rsidR="00213E8D" w:rsidRPr="005D60AB">
        <w:t xml:space="preserve">Action </w:t>
      </w:r>
      <w:r w:rsidR="00C56DE4">
        <w:t>9</w:t>
      </w:r>
      <w:r w:rsidR="00213E8D" w:rsidRPr="005D60AB">
        <w:t>:</w:t>
      </w:r>
      <w:r w:rsidR="00C55414">
        <w:t xml:space="preserve"> Work with the </w:t>
      </w:r>
      <w:r w:rsidR="004C41DB">
        <w:t xml:space="preserve">Task Force </w:t>
      </w:r>
      <w:r w:rsidR="00781FE4">
        <w:t xml:space="preserve">Treatment </w:t>
      </w:r>
      <w:r w:rsidR="00C55414">
        <w:t>&amp;</w:t>
      </w:r>
      <w:r w:rsidR="00781FE4">
        <w:t xml:space="preserve"> </w:t>
      </w:r>
      <w:r w:rsidR="00C55414">
        <w:t>R</w:t>
      </w:r>
      <w:r w:rsidR="00781FE4">
        <w:t>ehabilitation</w:t>
      </w:r>
      <w:r w:rsidR="00C55414">
        <w:t xml:space="preserve"> </w:t>
      </w:r>
      <w:r w:rsidR="004C41DB">
        <w:t>Sub</w:t>
      </w:r>
      <w:r w:rsidR="00C55414">
        <w:t xml:space="preserve">group to assess solutions to identified gaps in local service progression </w:t>
      </w:r>
      <w:bookmarkEnd w:id="85"/>
      <w:r w:rsidR="009001B6">
        <w:t>pathways.</w:t>
      </w:r>
      <w:r w:rsidR="006D60AC">
        <w:t xml:space="preserve"> </w:t>
      </w:r>
    </w:p>
    <w:tbl>
      <w:tblPr>
        <w:tblStyle w:val="1"/>
        <w:tblW w:w="90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2"/>
      </w:tblGrid>
      <w:tr w:rsidR="00620F35" w:rsidRPr="0074000C" w14:paraId="090B3352" w14:textId="77777777" w:rsidTr="00581306">
        <w:trPr>
          <w:trHeight w:val="3468"/>
        </w:trPr>
        <w:tc>
          <w:tcPr>
            <w:tcW w:w="9062" w:type="dxa"/>
            <w:shd w:val="clear" w:color="auto" w:fill="auto"/>
            <w:tcMar>
              <w:top w:w="100" w:type="dxa"/>
              <w:left w:w="100" w:type="dxa"/>
              <w:bottom w:w="100" w:type="dxa"/>
              <w:right w:w="100" w:type="dxa"/>
            </w:tcMar>
          </w:tcPr>
          <w:p w14:paraId="399A6C53" w14:textId="025BEA9E" w:rsidR="00620F35" w:rsidRPr="00EA2F62" w:rsidRDefault="00620F35" w:rsidP="0087116C">
            <w:pPr>
              <w:spacing w:line="360" w:lineRule="auto"/>
              <w:rPr>
                <w:color w:val="000000" w:themeColor="text1"/>
                <w:sz w:val="18"/>
              </w:rPr>
            </w:pPr>
            <w:r>
              <w:rPr>
                <w:color w:val="000000" w:themeColor="text1"/>
                <w:sz w:val="18"/>
              </w:rPr>
              <w:t xml:space="preserve">To work with the </w:t>
            </w:r>
            <w:r w:rsidRPr="00EA2F62">
              <w:rPr>
                <w:color w:val="000000" w:themeColor="text1"/>
                <w:sz w:val="18"/>
              </w:rPr>
              <w:t>T</w:t>
            </w:r>
            <w:r>
              <w:rPr>
                <w:color w:val="000000" w:themeColor="text1"/>
                <w:sz w:val="18"/>
              </w:rPr>
              <w:t xml:space="preserve">reatment and </w:t>
            </w:r>
            <w:r w:rsidRPr="00EA2F62">
              <w:rPr>
                <w:color w:val="000000" w:themeColor="text1"/>
                <w:sz w:val="18"/>
              </w:rPr>
              <w:t>R</w:t>
            </w:r>
            <w:r>
              <w:rPr>
                <w:color w:val="000000" w:themeColor="text1"/>
                <w:sz w:val="18"/>
              </w:rPr>
              <w:t>ehabilitation subgroup, or a subgroup thereof</w:t>
            </w:r>
            <w:r w:rsidRPr="00EA2F62">
              <w:rPr>
                <w:color w:val="000000" w:themeColor="text1"/>
                <w:sz w:val="18"/>
              </w:rPr>
              <w:t xml:space="preserve"> to</w:t>
            </w:r>
            <w:r w:rsidR="00C9121D">
              <w:rPr>
                <w:color w:val="000000" w:themeColor="text1"/>
                <w:sz w:val="18"/>
              </w:rPr>
              <w:t xml:space="preserve"> plan, implement and raise pilot funding or resources for a range of activities to enhance progression pathways. Steps include</w:t>
            </w:r>
            <w:r w:rsidRPr="00EA2F62">
              <w:rPr>
                <w:color w:val="000000" w:themeColor="text1"/>
                <w:sz w:val="18"/>
              </w:rPr>
              <w:t>:</w:t>
            </w:r>
          </w:p>
          <w:p w14:paraId="743A756E" w14:textId="573FF07F" w:rsidR="00620F35" w:rsidRPr="00EA2F62" w:rsidRDefault="00620F35" w:rsidP="0087116C">
            <w:pPr>
              <w:pStyle w:val="ListParagraph"/>
              <w:numPr>
                <w:ilvl w:val="0"/>
                <w:numId w:val="14"/>
              </w:numPr>
              <w:spacing w:line="360" w:lineRule="auto"/>
              <w:rPr>
                <w:color w:val="000000" w:themeColor="text1"/>
                <w:sz w:val="18"/>
              </w:rPr>
            </w:pPr>
            <w:r>
              <w:rPr>
                <w:color w:val="000000" w:themeColor="text1"/>
                <w:sz w:val="18"/>
              </w:rPr>
              <w:t>Undertake a mapping on</w:t>
            </w:r>
            <w:r w:rsidRPr="00EA2F62">
              <w:rPr>
                <w:color w:val="000000" w:themeColor="text1"/>
                <w:sz w:val="18"/>
              </w:rPr>
              <w:t xml:space="preserve"> the barriers </w:t>
            </w:r>
            <w:r w:rsidR="00C9121D">
              <w:rPr>
                <w:color w:val="000000" w:themeColor="text1"/>
                <w:sz w:val="18"/>
              </w:rPr>
              <w:t>to progression through</w:t>
            </w:r>
            <w:r>
              <w:rPr>
                <w:color w:val="000000" w:themeColor="text1"/>
                <w:sz w:val="18"/>
              </w:rPr>
              <w:t xml:space="preserve"> local pathways</w:t>
            </w:r>
            <w:r w:rsidRPr="00EA2F62">
              <w:rPr>
                <w:color w:val="000000" w:themeColor="text1"/>
                <w:sz w:val="18"/>
              </w:rPr>
              <w:t xml:space="preserve"> </w:t>
            </w:r>
            <w:r>
              <w:rPr>
                <w:color w:val="000000" w:themeColor="text1"/>
                <w:sz w:val="18"/>
              </w:rPr>
              <w:t xml:space="preserve">from </w:t>
            </w:r>
            <w:r w:rsidRPr="00EA2F62">
              <w:rPr>
                <w:color w:val="000000" w:themeColor="text1"/>
                <w:sz w:val="18"/>
              </w:rPr>
              <w:t xml:space="preserve">harm-reduction </w:t>
            </w:r>
            <w:r>
              <w:rPr>
                <w:color w:val="000000" w:themeColor="text1"/>
                <w:sz w:val="18"/>
              </w:rPr>
              <w:t>to rehabilitation. To then explore solutions, including respite.</w:t>
            </w:r>
          </w:p>
          <w:p w14:paraId="01B7EF88" w14:textId="77777777" w:rsidR="00620F35" w:rsidRPr="00EA2F62" w:rsidRDefault="00620F35" w:rsidP="0087116C">
            <w:pPr>
              <w:pStyle w:val="ListParagraph"/>
              <w:numPr>
                <w:ilvl w:val="0"/>
                <w:numId w:val="14"/>
              </w:numPr>
              <w:spacing w:line="360" w:lineRule="auto"/>
              <w:rPr>
                <w:color w:val="000000" w:themeColor="text1"/>
                <w:sz w:val="18"/>
              </w:rPr>
            </w:pPr>
            <w:r w:rsidRPr="00EA2F62">
              <w:rPr>
                <w:color w:val="000000" w:themeColor="text1"/>
                <w:sz w:val="18"/>
              </w:rPr>
              <w:t xml:space="preserve">Assess if TRP and JADD could operate a joint stabilisation programme </w:t>
            </w:r>
          </w:p>
          <w:p w14:paraId="086CDD8C" w14:textId="667BE12E" w:rsidR="00620F35" w:rsidRPr="00EA2F62" w:rsidRDefault="00620F35" w:rsidP="0087116C">
            <w:pPr>
              <w:pStyle w:val="ListParagraph"/>
              <w:numPr>
                <w:ilvl w:val="0"/>
                <w:numId w:val="14"/>
              </w:numPr>
              <w:spacing w:line="360" w:lineRule="auto"/>
              <w:rPr>
                <w:color w:val="000000" w:themeColor="text1"/>
                <w:sz w:val="18"/>
              </w:rPr>
            </w:pPr>
            <w:r w:rsidRPr="00EA2F62">
              <w:rPr>
                <w:color w:val="000000" w:themeColor="text1"/>
                <w:sz w:val="18"/>
              </w:rPr>
              <w:t>Cooperate with other community partners and agencies e.g. TRP, Francis Farm, Merchant’s Quay, to seek solutions to these barriers, potentially through partnerships</w:t>
            </w:r>
            <w:r>
              <w:rPr>
                <w:color w:val="000000" w:themeColor="text1"/>
                <w:sz w:val="18"/>
              </w:rPr>
              <w:t>, purchased places or other initiatives</w:t>
            </w:r>
            <w:r w:rsidR="00C9121D">
              <w:rPr>
                <w:color w:val="000000" w:themeColor="text1"/>
                <w:sz w:val="18"/>
              </w:rPr>
              <w:t>.</w:t>
            </w:r>
          </w:p>
          <w:p w14:paraId="537BEC9F" w14:textId="77777777" w:rsidR="00620F35" w:rsidRPr="005D60AB" w:rsidRDefault="00620F35" w:rsidP="0087116C">
            <w:pPr>
              <w:pStyle w:val="ListParagraph"/>
              <w:numPr>
                <w:ilvl w:val="0"/>
                <w:numId w:val="14"/>
              </w:numPr>
              <w:spacing w:line="360" w:lineRule="auto"/>
              <w:rPr>
                <w:color w:val="000000" w:themeColor="text1"/>
                <w:sz w:val="18"/>
              </w:rPr>
            </w:pPr>
            <w:r w:rsidRPr="00EA2F62">
              <w:rPr>
                <w:color w:val="000000" w:themeColor="text1"/>
                <w:sz w:val="18"/>
              </w:rPr>
              <w:t>Determine the correct level of threshold appropriate for a preparation</w:t>
            </w:r>
            <w:r>
              <w:rPr>
                <w:color w:val="000000" w:themeColor="text1"/>
                <w:sz w:val="18"/>
              </w:rPr>
              <w:t xml:space="preserve"> </w:t>
            </w:r>
            <w:r w:rsidRPr="00EA2F62">
              <w:rPr>
                <w:color w:val="000000" w:themeColor="text1"/>
                <w:sz w:val="18"/>
              </w:rPr>
              <w:t>/</w:t>
            </w:r>
            <w:r>
              <w:rPr>
                <w:color w:val="000000" w:themeColor="text1"/>
                <w:sz w:val="18"/>
              </w:rPr>
              <w:t xml:space="preserve"> </w:t>
            </w:r>
            <w:r w:rsidRPr="00EA2F62">
              <w:rPr>
                <w:color w:val="000000" w:themeColor="text1"/>
                <w:sz w:val="18"/>
              </w:rPr>
              <w:t>stabilisation programme</w:t>
            </w:r>
            <w:r>
              <w:rPr>
                <w:color w:val="000000" w:themeColor="text1"/>
                <w:sz w:val="18"/>
              </w:rPr>
              <w:t xml:space="preserve"> to support the most people on their journey</w:t>
            </w:r>
          </w:p>
        </w:tc>
      </w:tr>
      <w:tr w:rsidR="00620F35" w:rsidRPr="0074000C" w14:paraId="52E94549" w14:textId="77777777" w:rsidTr="00581306">
        <w:trPr>
          <w:trHeight w:val="391"/>
        </w:trPr>
        <w:tc>
          <w:tcPr>
            <w:tcW w:w="9062" w:type="dxa"/>
            <w:shd w:val="clear" w:color="auto" w:fill="auto"/>
            <w:tcMar>
              <w:top w:w="100" w:type="dxa"/>
              <w:left w:w="100" w:type="dxa"/>
              <w:bottom w:w="100" w:type="dxa"/>
              <w:right w:w="100" w:type="dxa"/>
            </w:tcMar>
          </w:tcPr>
          <w:p w14:paraId="0DBC8E89" w14:textId="77777777" w:rsidR="00620F35" w:rsidRPr="005D60AB" w:rsidRDefault="00620F35" w:rsidP="0087116C">
            <w:pPr>
              <w:spacing w:line="360" w:lineRule="auto"/>
              <w:rPr>
                <w:color w:val="000000" w:themeColor="text1"/>
                <w:sz w:val="18"/>
                <w:u w:val="single"/>
              </w:rPr>
            </w:pPr>
            <w:r w:rsidRPr="00EA2F62">
              <w:rPr>
                <w:color w:val="000000" w:themeColor="text1"/>
                <w:sz w:val="18"/>
              </w:rPr>
              <w:t xml:space="preserve">To engage service users through research to assess how a preparation/stabilisation programme could be of </w:t>
            </w:r>
            <w:r>
              <w:rPr>
                <w:color w:val="000000" w:themeColor="text1"/>
                <w:sz w:val="18"/>
              </w:rPr>
              <w:t xml:space="preserve">most </w:t>
            </w:r>
            <w:r w:rsidRPr="00EA2F62">
              <w:rPr>
                <w:color w:val="000000" w:themeColor="text1"/>
                <w:sz w:val="18"/>
              </w:rPr>
              <w:t>benefit</w:t>
            </w:r>
            <w:r>
              <w:rPr>
                <w:color w:val="000000" w:themeColor="text1"/>
                <w:sz w:val="18"/>
              </w:rPr>
              <w:t>.</w:t>
            </w:r>
          </w:p>
        </w:tc>
      </w:tr>
      <w:tr w:rsidR="00C9121D" w:rsidRPr="0074000C" w14:paraId="15078F67" w14:textId="77777777" w:rsidTr="00620F35">
        <w:trPr>
          <w:trHeight w:val="391"/>
        </w:trPr>
        <w:tc>
          <w:tcPr>
            <w:tcW w:w="9062" w:type="dxa"/>
            <w:shd w:val="clear" w:color="auto" w:fill="auto"/>
            <w:tcMar>
              <w:top w:w="100" w:type="dxa"/>
              <w:left w:w="100" w:type="dxa"/>
              <w:bottom w:w="100" w:type="dxa"/>
              <w:right w:w="100" w:type="dxa"/>
            </w:tcMar>
          </w:tcPr>
          <w:p w14:paraId="76617D0F" w14:textId="5F7BC255" w:rsidR="00C9121D" w:rsidRPr="00EA2F62" w:rsidRDefault="00C9121D" w:rsidP="0087116C">
            <w:pPr>
              <w:spacing w:line="360" w:lineRule="auto"/>
              <w:rPr>
                <w:color w:val="000000" w:themeColor="text1"/>
                <w:sz w:val="18"/>
              </w:rPr>
            </w:pPr>
            <w:r>
              <w:rPr>
                <w:color w:val="000000" w:themeColor="text1"/>
                <w:sz w:val="18"/>
              </w:rPr>
              <w:t>To review and evaluate any new innovations to explore efficacy, value for money, how they can be improved</w:t>
            </w:r>
            <w:r w:rsidR="00060FE2">
              <w:rPr>
                <w:color w:val="000000" w:themeColor="text1"/>
                <w:sz w:val="18"/>
              </w:rPr>
              <w:t xml:space="preserve"> and made sustainable.</w:t>
            </w:r>
          </w:p>
        </w:tc>
      </w:tr>
    </w:tbl>
    <w:p w14:paraId="5A13DCB5" w14:textId="77777777" w:rsidR="00213E8D" w:rsidRDefault="00213E8D" w:rsidP="0087116C">
      <w:pPr>
        <w:spacing w:after="0" w:line="360" w:lineRule="auto"/>
      </w:pPr>
    </w:p>
    <w:p w14:paraId="4706E7C4" w14:textId="77777777" w:rsidR="00EA2F62" w:rsidRDefault="00213E8D" w:rsidP="0087116C">
      <w:pPr>
        <w:spacing w:after="0" w:line="360" w:lineRule="auto"/>
        <w:rPr>
          <w:b/>
          <w:sz w:val="18"/>
        </w:rPr>
      </w:pPr>
      <w:r w:rsidRPr="002659F4">
        <w:rPr>
          <w:b/>
          <w:sz w:val="18"/>
        </w:rPr>
        <w:t>Key Performance Indicators (How we will know we have been successful)</w:t>
      </w:r>
    </w:p>
    <w:p w14:paraId="6EF62623" w14:textId="2F685B15" w:rsidR="00F55ED0" w:rsidRPr="00581306" w:rsidRDefault="00F55ED0" w:rsidP="0087116C">
      <w:pPr>
        <w:pStyle w:val="ListParagraph"/>
        <w:numPr>
          <w:ilvl w:val="0"/>
          <w:numId w:val="43"/>
        </w:numPr>
        <w:spacing w:after="0" w:line="360" w:lineRule="auto"/>
        <w:rPr>
          <w:b/>
          <w:sz w:val="18"/>
        </w:rPr>
      </w:pPr>
      <w:r w:rsidRPr="00581306">
        <w:rPr>
          <w:sz w:val="18"/>
        </w:rPr>
        <w:t xml:space="preserve">Produce a </w:t>
      </w:r>
      <w:r w:rsidR="00FF3156" w:rsidRPr="00581306">
        <w:rPr>
          <w:sz w:val="18"/>
        </w:rPr>
        <w:t>strategic document</w:t>
      </w:r>
      <w:r w:rsidR="00C55414" w:rsidRPr="00581306">
        <w:rPr>
          <w:sz w:val="18"/>
        </w:rPr>
        <w:t xml:space="preserve"> on barriers and solutions</w:t>
      </w:r>
    </w:p>
    <w:p w14:paraId="08DF52EE" w14:textId="6AE6F7CD" w:rsidR="004C41DB" w:rsidRPr="00581306" w:rsidRDefault="004C41DB" w:rsidP="0087116C">
      <w:pPr>
        <w:pStyle w:val="ListParagraph"/>
        <w:numPr>
          <w:ilvl w:val="0"/>
          <w:numId w:val="43"/>
        </w:numPr>
        <w:spacing w:after="0" w:line="360" w:lineRule="auto"/>
        <w:rPr>
          <w:b/>
          <w:sz w:val="18"/>
        </w:rPr>
      </w:pPr>
      <w:r>
        <w:rPr>
          <w:sz w:val="18"/>
        </w:rPr>
        <w:t xml:space="preserve">An action plan is agreed locally and </w:t>
      </w:r>
      <w:r w:rsidR="00FF3156">
        <w:rPr>
          <w:sz w:val="18"/>
        </w:rPr>
        <w:t>implemented.</w:t>
      </w:r>
    </w:p>
    <w:p w14:paraId="1992FB8C" w14:textId="17BC9EA8" w:rsidR="00C9121D" w:rsidRPr="00581306" w:rsidRDefault="00C9121D" w:rsidP="00581306">
      <w:pPr>
        <w:pStyle w:val="ListParagraph"/>
        <w:numPr>
          <w:ilvl w:val="0"/>
          <w:numId w:val="43"/>
        </w:numPr>
        <w:spacing w:after="0" w:line="360" w:lineRule="auto"/>
        <w:rPr>
          <w:b/>
          <w:sz w:val="18"/>
        </w:rPr>
      </w:pPr>
      <w:r>
        <w:rPr>
          <w:sz w:val="18"/>
        </w:rPr>
        <w:t xml:space="preserve">An evaluation is undertaken of any new </w:t>
      </w:r>
      <w:r w:rsidR="00FF3156">
        <w:rPr>
          <w:sz w:val="18"/>
        </w:rPr>
        <w:t>initiatives.</w:t>
      </w:r>
    </w:p>
    <w:p w14:paraId="73546D15" w14:textId="71D977C9" w:rsidR="000C6F4E" w:rsidRDefault="000C6F4E" w:rsidP="000C6F4E">
      <w:pPr>
        <w:pStyle w:val="Heading2"/>
        <w:numPr>
          <w:ilvl w:val="0"/>
          <w:numId w:val="0"/>
        </w:numPr>
      </w:pPr>
    </w:p>
    <w:p w14:paraId="7C98699E" w14:textId="77777777" w:rsidR="000C6F4E" w:rsidRPr="00144B9F" w:rsidRDefault="000C6F4E" w:rsidP="000C6F4E">
      <w:pPr>
        <w:pStyle w:val="Heading2"/>
        <w:numPr>
          <w:ilvl w:val="0"/>
          <w:numId w:val="0"/>
        </w:numPr>
        <w:ind w:left="576" w:hanging="576"/>
        <w:rPr>
          <w:lang w:val="en-GB"/>
        </w:rPr>
      </w:pPr>
      <w:r>
        <w:t xml:space="preserve">5.4 Work with Partners to Ensure Programme Sustainability </w:t>
      </w:r>
    </w:p>
    <w:p w14:paraId="3ED53E59" w14:textId="31556D60" w:rsidR="000C6F4E" w:rsidRDefault="000C6F4E" w:rsidP="000C6F4E">
      <w:pPr>
        <w:pStyle w:val="Heading3"/>
      </w:pPr>
      <w:r>
        <w:t xml:space="preserve">5.4.1 Action </w:t>
      </w:r>
      <w:r w:rsidR="00C56DE4">
        <w:t>10</w:t>
      </w:r>
      <w:r>
        <w:t>: Work with the HSE</w:t>
      </w:r>
      <w:r w:rsidR="00776751">
        <w:t>,</w:t>
      </w:r>
      <w:r>
        <w:t xml:space="preserve"> TDATF, &amp; Pobal to ensure that permanent funding streams are in place to ensure the delivery of all services. </w:t>
      </w:r>
    </w:p>
    <w:tbl>
      <w:tblPr>
        <w:tblStyle w:val="TableGrid"/>
        <w:tblW w:w="9751" w:type="dxa"/>
        <w:tblLook w:val="04A0" w:firstRow="1" w:lastRow="0" w:firstColumn="1" w:lastColumn="0" w:noHBand="0" w:noVBand="1"/>
      </w:tblPr>
      <w:tblGrid>
        <w:gridCol w:w="9751"/>
      </w:tblGrid>
      <w:tr w:rsidR="000C6F4E" w14:paraId="6BF33144" w14:textId="77777777" w:rsidTr="00776751">
        <w:trPr>
          <w:trHeight w:val="1117"/>
        </w:trPr>
        <w:tc>
          <w:tcPr>
            <w:tcW w:w="9751" w:type="dxa"/>
          </w:tcPr>
          <w:p w14:paraId="31462B2D" w14:textId="6B86C0C6" w:rsidR="000C6F4E" w:rsidRPr="001E3C03" w:rsidRDefault="000C6F4E" w:rsidP="000C6F4E">
            <w:pPr>
              <w:rPr>
                <w:sz w:val="18"/>
              </w:rPr>
            </w:pPr>
            <w:r w:rsidRPr="001E3C03">
              <w:rPr>
                <w:sz w:val="18"/>
              </w:rPr>
              <w:t xml:space="preserve">To liaise with the Independent Finance Sub-committee of the TDATF regarding permanent funding for the crack cocaine service. </w:t>
            </w:r>
          </w:p>
        </w:tc>
      </w:tr>
      <w:tr w:rsidR="000C6F4E" w14:paraId="7FEDB340" w14:textId="77777777" w:rsidTr="00776751">
        <w:trPr>
          <w:trHeight w:val="1117"/>
        </w:trPr>
        <w:tc>
          <w:tcPr>
            <w:tcW w:w="9751" w:type="dxa"/>
          </w:tcPr>
          <w:p w14:paraId="77E0A382" w14:textId="2240A71D" w:rsidR="000C6F4E" w:rsidRPr="00776751" w:rsidRDefault="00776751" w:rsidP="000C6F4E">
            <w:pPr>
              <w:rPr>
                <w:sz w:val="18"/>
              </w:rPr>
            </w:pPr>
            <w:r w:rsidRPr="00776751">
              <w:rPr>
                <w:sz w:val="18"/>
              </w:rPr>
              <w:t xml:space="preserve">To work with the HSE to ensure that funding for the crack cocaine service is made permanent beyond the current </w:t>
            </w:r>
            <w:r>
              <w:rPr>
                <w:sz w:val="18"/>
              </w:rPr>
              <w:t xml:space="preserve">3 year funding period. </w:t>
            </w:r>
          </w:p>
        </w:tc>
      </w:tr>
      <w:tr w:rsidR="0043389C" w14:paraId="6BFA3177" w14:textId="77777777" w:rsidTr="00776751">
        <w:trPr>
          <w:trHeight w:val="1117"/>
        </w:trPr>
        <w:tc>
          <w:tcPr>
            <w:tcW w:w="9751" w:type="dxa"/>
          </w:tcPr>
          <w:p w14:paraId="7032E7F9" w14:textId="2220EA72" w:rsidR="0043389C" w:rsidRPr="00776751" w:rsidRDefault="0043389C" w:rsidP="000C6F4E">
            <w:pPr>
              <w:rPr>
                <w:sz w:val="18"/>
              </w:rPr>
            </w:pPr>
            <w:r>
              <w:rPr>
                <w:sz w:val="18"/>
              </w:rPr>
              <w:t xml:space="preserve">To liaise with the South Dublin County Childcare Committee &amp; Pobal to extend the childcare service into the afternoons. </w:t>
            </w:r>
          </w:p>
        </w:tc>
      </w:tr>
    </w:tbl>
    <w:p w14:paraId="66347B79" w14:textId="2212A819" w:rsidR="000C6F4E" w:rsidRDefault="000C6F4E" w:rsidP="000C6F4E"/>
    <w:p w14:paraId="51209FF7" w14:textId="1257FD30" w:rsidR="002F4DDF" w:rsidRDefault="002F4DDF" w:rsidP="000C6F4E"/>
    <w:p w14:paraId="16232B24" w14:textId="5665C18E" w:rsidR="00E621FD" w:rsidRDefault="00E621FD" w:rsidP="00E621FD">
      <w:pPr>
        <w:pStyle w:val="Heading3"/>
      </w:pPr>
      <w:r>
        <w:rPr>
          <w:b/>
          <w:bCs w:val="0"/>
          <w:sz w:val="24"/>
          <w:szCs w:val="24"/>
        </w:rPr>
        <w:t>5</w:t>
      </w:r>
      <w:r w:rsidRPr="00ED4FF8">
        <w:rPr>
          <w:b/>
          <w:bCs w:val="0"/>
          <w:sz w:val="24"/>
          <w:szCs w:val="24"/>
        </w:rPr>
        <w:t>.5</w:t>
      </w:r>
      <w:r w:rsidRPr="00ED4FF8">
        <w:rPr>
          <w:sz w:val="24"/>
          <w:szCs w:val="24"/>
        </w:rPr>
        <w:t xml:space="preserve">  </w:t>
      </w:r>
      <w:r>
        <w:rPr>
          <w:sz w:val="24"/>
          <w:szCs w:val="24"/>
        </w:rPr>
        <w:t xml:space="preserve"> </w:t>
      </w:r>
      <w:r w:rsidRPr="00ED4FF8">
        <w:rPr>
          <w:b/>
          <w:bCs w:val="0"/>
          <w:color w:val="31849B"/>
          <w:sz w:val="24"/>
          <w:szCs w:val="24"/>
        </w:rPr>
        <w:t>Attract, develop and retain a highly committed workforce</w:t>
      </w:r>
      <w:r>
        <w:t xml:space="preserve">  </w:t>
      </w:r>
    </w:p>
    <w:p w14:paraId="75F4F798" w14:textId="1A348FA4" w:rsidR="008D37C2" w:rsidRPr="00CD301E" w:rsidRDefault="00C56DE4" w:rsidP="008D37C2">
      <w:pPr>
        <w:pStyle w:val="Heading3"/>
      </w:pPr>
      <w:r>
        <w:t xml:space="preserve">5.5.1 Action 11: </w:t>
      </w:r>
      <w:r w:rsidR="00B352E8">
        <w:t xml:space="preserve">  </w:t>
      </w:r>
      <w:r w:rsidR="008D37C2" w:rsidRPr="00CD301E">
        <w:t>We will continue to ensure that we have a working culture which ensures that our staff feel safe and valued in their roles and that they have relevant training and development plans in place.</w:t>
      </w:r>
    </w:p>
    <w:tbl>
      <w:tblPr>
        <w:tblStyle w:val="1"/>
        <w:tblW w:w="89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21"/>
      </w:tblGrid>
      <w:tr w:rsidR="00E621FD" w:rsidRPr="007A2C03" w14:paraId="52CA085D" w14:textId="77777777" w:rsidTr="00315983">
        <w:trPr>
          <w:trHeight w:val="250"/>
        </w:trPr>
        <w:tc>
          <w:tcPr>
            <w:tcW w:w="8921" w:type="dxa"/>
            <w:shd w:val="clear" w:color="auto" w:fill="auto"/>
            <w:tcMar>
              <w:top w:w="100" w:type="dxa"/>
              <w:left w:w="100" w:type="dxa"/>
              <w:bottom w:w="100" w:type="dxa"/>
              <w:right w:w="100" w:type="dxa"/>
            </w:tcMar>
          </w:tcPr>
          <w:p w14:paraId="0CE89C8A" w14:textId="054DCB5A" w:rsidR="00E621FD" w:rsidRPr="007A2C03" w:rsidRDefault="00E621FD" w:rsidP="00315983">
            <w:pPr>
              <w:widowControl w:val="0"/>
              <w:spacing w:after="0" w:line="360" w:lineRule="auto"/>
              <w:rPr>
                <w:sz w:val="18"/>
              </w:rPr>
            </w:pPr>
            <w:r>
              <w:rPr>
                <w:sz w:val="18"/>
              </w:rPr>
              <w:t>All staff have training</w:t>
            </w:r>
            <w:r w:rsidR="00FF172F">
              <w:rPr>
                <w:sz w:val="18"/>
              </w:rPr>
              <w:t xml:space="preserve"> &amp; </w:t>
            </w:r>
            <w:r w:rsidR="00FF3156">
              <w:rPr>
                <w:sz w:val="18"/>
              </w:rPr>
              <w:t>development plans</w:t>
            </w:r>
            <w:r>
              <w:rPr>
                <w:sz w:val="18"/>
              </w:rPr>
              <w:t xml:space="preserve"> in place and agreed </w:t>
            </w:r>
          </w:p>
        </w:tc>
      </w:tr>
      <w:tr w:rsidR="00E621FD" w:rsidRPr="007A2C03" w14:paraId="0EA87404" w14:textId="77777777" w:rsidTr="00315983">
        <w:trPr>
          <w:trHeight w:val="24"/>
        </w:trPr>
        <w:tc>
          <w:tcPr>
            <w:tcW w:w="8921" w:type="dxa"/>
            <w:shd w:val="clear" w:color="auto" w:fill="auto"/>
            <w:tcMar>
              <w:top w:w="100" w:type="dxa"/>
              <w:left w:w="100" w:type="dxa"/>
              <w:bottom w:w="100" w:type="dxa"/>
              <w:right w:w="100" w:type="dxa"/>
            </w:tcMar>
          </w:tcPr>
          <w:p w14:paraId="2BAFB466" w14:textId="08CD3C7D" w:rsidR="00E621FD" w:rsidRPr="007A2C03" w:rsidRDefault="00E621FD" w:rsidP="00315983">
            <w:pPr>
              <w:widowControl w:val="0"/>
              <w:spacing w:after="0" w:line="360" w:lineRule="auto"/>
              <w:rPr>
                <w:sz w:val="18"/>
              </w:rPr>
            </w:pPr>
            <w:r>
              <w:rPr>
                <w:sz w:val="18"/>
              </w:rPr>
              <w:t xml:space="preserve">Annual review process in place to ensure that all Staff have </w:t>
            </w:r>
            <w:r w:rsidR="00FF3156">
              <w:rPr>
                <w:sz w:val="18"/>
              </w:rPr>
              <w:t>formalized goals</w:t>
            </w:r>
            <w:r>
              <w:rPr>
                <w:sz w:val="18"/>
              </w:rPr>
              <w:t xml:space="preserve"> and objectives &amp; performance </w:t>
            </w:r>
            <w:r w:rsidR="00FF3156">
              <w:rPr>
                <w:sz w:val="18"/>
              </w:rPr>
              <w:t xml:space="preserve">reviews, </w:t>
            </w:r>
          </w:p>
        </w:tc>
      </w:tr>
      <w:tr w:rsidR="00FF3156" w:rsidRPr="007A2C03" w14:paraId="56C786F2" w14:textId="77777777" w:rsidTr="00315983">
        <w:trPr>
          <w:trHeight w:val="24"/>
        </w:trPr>
        <w:tc>
          <w:tcPr>
            <w:tcW w:w="8921" w:type="dxa"/>
            <w:shd w:val="clear" w:color="auto" w:fill="auto"/>
            <w:tcMar>
              <w:top w:w="100" w:type="dxa"/>
              <w:left w:w="100" w:type="dxa"/>
              <w:bottom w:w="100" w:type="dxa"/>
              <w:right w:w="100" w:type="dxa"/>
            </w:tcMar>
          </w:tcPr>
          <w:p w14:paraId="77461604" w14:textId="4A8780D4" w:rsidR="00FF3156" w:rsidRDefault="0090479E" w:rsidP="00315983">
            <w:pPr>
              <w:widowControl w:val="0"/>
              <w:spacing w:after="0" w:line="360" w:lineRule="auto"/>
              <w:rPr>
                <w:sz w:val="18"/>
              </w:rPr>
            </w:pPr>
            <w:r>
              <w:rPr>
                <w:sz w:val="18"/>
              </w:rPr>
              <w:t>Give key staff opportunities to present on issues to the board, the HSE and other relevant bodies</w:t>
            </w:r>
          </w:p>
        </w:tc>
      </w:tr>
      <w:tr w:rsidR="004128A3" w:rsidRPr="007A2C03" w14:paraId="4E46F9CB" w14:textId="77777777" w:rsidTr="00315983">
        <w:trPr>
          <w:trHeight w:val="24"/>
        </w:trPr>
        <w:tc>
          <w:tcPr>
            <w:tcW w:w="8921" w:type="dxa"/>
            <w:shd w:val="clear" w:color="auto" w:fill="auto"/>
            <w:tcMar>
              <w:top w:w="100" w:type="dxa"/>
              <w:left w:w="100" w:type="dxa"/>
              <w:bottom w:w="100" w:type="dxa"/>
              <w:right w:w="100" w:type="dxa"/>
            </w:tcMar>
          </w:tcPr>
          <w:p w14:paraId="27A70A68" w14:textId="63DF0283" w:rsidR="004128A3" w:rsidRDefault="004128A3" w:rsidP="00315983">
            <w:pPr>
              <w:widowControl w:val="0"/>
              <w:spacing w:after="0" w:line="360" w:lineRule="auto"/>
              <w:rPr>
                <w:sz w:val="18"/>
              </w:rPr>
            </w:pPr>
            <w:r>
              <w:rPr>
                <w:sz w:val="18"/>
              </w:rPr>
              <w:t>All staff have regular and scheduled one on ones with their immediate line manager</w:t>
            </w:r>
          </w:p>
        </w:tc>
      </w:tr>
    </w:tbl>
    <w:p w14:paraId="55B69D60" w14:textId="77777777" w:rsidR="001631F2" w:rsidRDefault="001631F2" w:rsidP="00E621FD">
      <w:pPr>
        <w:spacing w:after="0" w:line="360" w:lineRule="auto"/>
        <w:rPr>
          <w:b/>
        </w:rPr>
      </w:pPr>
    </w:p>
    <w:p w14:paraId="6F777173" w14:textId="4E600BEF" w:rsidR="00E621FD" w:rsidRDefault="00E621FD" w:rsidP="00E621FD">
      <w:pPr>
        <w:spacing w:after="0" w:line="360" w:lineRule="auto"/>
        <w:rPr>
          <w:b/>
        </w:rPr>
      </w:pPr>
      <w:r>
        <w:rPr>
          <w:b/>
        </w:rPr>
        <w:t>Key Performance Indicators (How we will know we have been successful)</w:t>
      </w:r>
    </w:p>
    <w:p w14:paraId="54484B3A" w14:textId="77777777" w:rsidR="00E621FD" w:rsidRDefault="00E621FD" w:rsidP="00E621FD">
      <w:pPr>
        <w:pStyle w:val="ListParagraph"/>
        <w:numPr>
          <w:ilvl w:val="0"/>
          <w:numId w:val="14"/>
        </w:numPr>
        <w:spacing w:after="0" w:line="360" w:lineRule="auto"/>
        <w:rPr>
          <w:bCs/>
          <w:sz w:val="18"/>
        </w:rPr>
      </w:pPr>
      <w:r>
        <w:rPr>
          <w:bCs/>
          <w:sz w:val="18"/>
        </w:rPr>
        <w:t>Employee retention %</w:t>
      </w:r>
    </w:p>
    <w:p w14:paraId="747AD30C" w14:textId="5E0E2737" w:rsidR="00E621FD" w:rsidRDefault="00E621FD" w:rsidP="00E621FD">
      <w:pPr>
        <w:pStyle w:val="ListParagraph"/>
        <w:numPr>
          <w:ilvl w:val="0"/>
          <w:numId w:val="14"/>
        </w:numPr>
        <w:spacing w:after="0" w:line="360" w:lineRule="auto"/>
        <w:rPr>
          <w:bCs/>
          <w:sz w:val="18"/>
        </w:rPr>
      </w:pPr>
      <w:r>
        <w:rPr>
          <w:bCs/>
          <w:sz w:val="18"/>
        </w:rPr>
        <w:t xml:space="preserve">Employee survey carried out in 2024 </w:t>
      </w:r>
      <w:r w:rsidR="00AC359D">
        <w:rPr>
          <w:bCs/>
          <w:sz w:val="18"/>
        </w:rPr>
        <w:t>(we</w:t>
      </w:r>
      <w:r>
        <w:rPr>
          <w:bCs/>
          <w:sz w:val="18"/>
        </w:rPr>
        <w:t xml:space="preserve"> have one from 2022)</w:t>
      </w:r>
    </w:p>
    <w:p w14:paraId="26FF718A" w14:textId="77777777" w:rsidR="00E621FD" w:rsidRDefault="00E621FD" w:rsidP="00E621FD">
      <w:pPr>
        <w:spacing w:line="360" w:lineRule="auto"/>
        <w:rPr>
          <w:sz w:val="18"/>
        </w:rPr>
      </w:pPr>
    </w:p>
    <w:p w14:paraId="119A0DA1" w14:textId="5E09810D" w:rsidR="00AD341A" w:rsidRDefault="00AD341A" w:rsidP="000C6F4E"/>
    <w:p w14:paraId="05279EE9" w14:textId="77777777" w:rsidR="00FF3156" w:rsidRDefault="00FF3156" w:rsidP="000C6F4E"/>
    <w:p w14:paraId="3A876B74" w14:textId="77777777" w:rsidR="00FF3156" w:rsidRDefault="00FF3156" w:rsidP="000C6F4E"/>
    <w:p w14:paraId="2DA8A5F7" w14:textId="39F3D131" w:rsidR="00AD341A" w:rsidRDefault="00AD341A" w:rsidP="000C6F4E"/>
    <w:p w14:paraId="02A92082" w14:textId="5460D80A" w:rsidR="00AD341A" w:rsidRDefault="00F724CB" w:rsidP="00AD341A">
      <w:pPr>
        <w:pStyle w:val="Heading2"/>
        <w:numPr>
          <w:ilvl w:val="0"/>
          <w:numId w:val="0"/>
        </w:numPr>
        <w:ind w:left="576" w:hanging="576"/>
      </w:pPr>
      <w:r>
        <w:t>A</w:t>
      </w:r>
      <w:r w:rsidR="00AD341A">
        <w:t>cknowledgements</w:t>
      </w:r>
    </w:p>
    <w:p w14:paraId="365C9CCD" w14:textId="19F82729" w:rsidR="00AD341A" w:rsidRDefault="00AD341A" w:rsidP="00AD341A"/>
    <w:p w14:paraId="1F4F6F27" w14:textId="78E8DAD2" w:rsidR="00C16E1A" w:rsidRDefault="00AD341A" w:rsidP="00AD341A">
      <w:r>
        <w:t xml:space="preserve">The board of directors would like to thank </w:t>
      </w:r>
      <w:r w:rsidR="00F01049">
        <w:t xml:space="preserve">JADD’s service users </w:t>
      </w:r>
      <w:r w:rsidR="00EA0ED4">
        <w:t xml:space="preserve">&amp; staff </w:t>
      </w:r>
      <w:r w:rsidR="00F01049">
        <w:t xml:space="preserve">for their contribution to the development of the </w:t>
      </w:r>
      <w:r w:rsidR="00C16E1A">
        <w:t xml:space="preserve">Strategic Plan 2023-2026. The primary aim of this plan is to ensure that JADD continue to meet the needs of individuals &amp; families in the community who are negatively affected by substance use problems. Thank you also to Quality Matters for developing the plan, and for engaging with our stakeholders. </w:t>
      </w:r>
    </w:p>
    <w:p w14:paraId="60031CB2" w14:textId="3BA56CBF" w:rsidR="00AD341A" w:rsidRDefault="00C16E1A" w:rsidP="00AD341A">
      <w:r>
        <w:t xml:space="preserve">We would also like to acknowledge the following organisations for their participation in the development of the strategic plan, and to acknowledge those who continue to support JADD’s work in the community: </w:t>
      </w:r>
    </w:p>
    <w:p w14:paraId="48F8BA7A" w14:textId="04A79DCD" w:rsidR="00C16E1A" w:rsidRDefault="00C16E1A" w:rsidP="00C16E1A">
      <w:pPr>
        <w:pStyle w:val="ListParagraph"/>
        <w:numPr>
          <w:ilvl w:val="0"/>
          <w:numId w:val="48"/>
        </w:numPr>
      </w:pPr>
      <w:r>
        <w:t xml:space="preserve">Health Service Executive </w:t>
      </w:r>
    </w:p>
    <w:p w14:paraId="2D5D7A45" w14:textId="7CC08076" w:rsidR="00C16E1A" w:rsidRDefault="00C16E1A" w:rsidP="00C16E1A">
      <w:pPr>
        <w:pStyle w:val="ListParagraph"/>
        <w:numPr>
          <w:ilvl w:val="0"/>
          <w:numId w:val="48"/>
        </w:numPr>
      </w:pPr>
      <w:r>
        <w:t>Tallaght Drug &amp; Alcohol Task Force</w:t>
      </w:r>
    </w:p>
    <w:p w14:paraId="000D319F" w14:textId="5A59354B" w:rsidR="00EA0ED4" w:rsidRDefault="00EA0ED4" w:rsidP="00C16E1A">
      <w:pPr>
        <w:pStyle w:val="ListParagraph"/>
        <w:numPr>
          <w:ilvl w:val="0"/>
          <w:numId w:val="48"/>
        </w:numPr>
      </w:pPr>
      <w:r>
        <w:t xml:space="preserve">South Dublin County Partnership </w:t>
      </w:r>
    </w:p>
    <w:p w14:paraId="355EA975" w14:textId="6611B9A5" w:rsidR="00C16E1A" w:rsidRDefault="00C16E1A" w:rsidP="00C16E1A">
      <w:pPr>
        <w:pStyle w:val="ListParagraph"/>
        <w:numPr>
          <w:ilvl w:val="0"/>
          <w:numId w:val="48"/>
        </w:numPr>
      </w:pPr>
      <w:r>
        <w:t>Pobal</w:t>
      </w:r>
    </w:p>
    <w:p w14:paraId="510BDE0F" w14:textId="49D04822" w:rsidR="00C16E1A" w:rsidRDefault="00C16E1A" w:rsidP="00C16E1A">
      <w:pPr>
        <w:pStyle w:val="ListParagraph"/>
        <w:numPr>
          <w:ilvl w:val="0"/>
          <w:numId w:val="48"/>
        </w:numPr>
      </w:pPr>
      <w:r>
        <w:t xml:space="preserve">South Dublin County Council </w:t>
      </w:r>
    </w:p>
    <w:p w14:paraId="566C13F8" w14:textId="2A0B5502" w:rsidR="00C16E1A" w:rsidRDefault="00C16E1A" w:rsidP="00C16E1A">
      <w:pPr>
        <w:pStyle w:val="ListParagraph"/>
        <w:numPr>
          <w:ilvl w:val="0"/>
          <w:numId w:val="48"/>
        </w:numPr>
      </w:pPr>
      <w:r>
        <w:t xml:space="preserve">Safetynet </w:t>
      </w:r>
    </w:p>
    <w:p w14:paraId="0FC8F489" w14:textId="392DBC6F" w:rsidR="00C16E1A" w:rsidRDefault="00C16E1A" w:rsidP="00C16E1A">
      <w:pPr>
        <w:pStyle w:val="ListParagraph"/>
        <w:numPr>
          <w:ilvl w:val="0"/>
          <w:numId w:val="48"/>
        </w:numPr>
      </w:pPr>
      <w:r>
        <w:t xml:space="preserve">Tallaght Echo </w:t>
      </w:r>
    </w:p>
    <w:p w14:paraId="2AA2CBD6" w14:textId="5449B586" w:rsidR="00C16E1A" w:rsidRDefault="00C16E1A" w:rsidP="00C16E1A">
      <w:pPr>
        <w:pStyle w:val="ListParagraph"/>
        <w:numPr>
          <w:ilvl w:val="0"/>
          <w:numId w:val="48"/>
        </w:numPr>
      </w:pPr>
      <w:r>
        <w:t xml:space="preserve">South Dublin County Childcare Committee </w:t>
      </w:r>
    </w:p>
    <w:p w14:paraId="2AC5C33A" w14:textId="09EC4519" w:rsidR="00C16E1A" w:rsidRDefault="00C16E1A" w:rsidP="00C16E1A">
      <w:pPr>
        <w:pStyle w:val="ListParagraph"/>
        <w:numPr>
          <w:ilvl w:val="0"/>
          <w:numId w:val="48"/>
        </w:numPr>
      </w:pPr>
      <w:r>
        <w:t xml:space="preserve">Tusla </w:t>
      </w:r>
    </w:p>
    <w:p w14:paraId="4EAE68BB" w14:textId="7FB442B0" w:rsidR="00C16E1A" w:rsidRPr="00AD341A" w:rsidRDefault="00EA0ED4" w:rsidP="00C16E1A">
      <w:pPr>
        <w:pStyle w:val="ListParagraph"/>
        <w:numPr>
          <w:ilvl w:val="0"/>
          <w:numId w:val="48"/>
        </w:numPr>
      </w:pPr>
      <w:r>
        <w:t xml:space="preserve">HSE National Lottery </w:t>
      </w:r>
    </w:p>
    <w:p w14:paraId="11025677" w14:textId="77777777" w:rsidR="00AD341A" w:rsidRDefault="00AD341A" w:rsidP="000C6F4E"/>
    <w:p w14:paraId="4B6FB9D3" w14:textId="77777777" w:rsidR="002F4DDF" w:rsidRPr="000C6F4E" w:rsidRDefault="002F4DDF" w:rsidP="000C6F4E"/>
    <w:sectPr w:rsidR="002F4DDF" w:rsidRPr="000C6F4E" w:rsidSect="00781FE4">
      <w:footerReference w:type="even" r:id="rId13"/>
      <w:footerReference w:type="default" r:id="rId14"/>
      <w:pgSz w:w="11906" w:h="16838"/>
      <w:pgMar w:top="1440" w:right="1440" w:bottom="1129"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EA1EC" w14:textId="77777777" w:rsidR="00A30644" w:rsidRDefault="00A30644">
      <w:pPr>
        <w:spacing w:after="0"/>
      </w:pPr>
      <w:r>
        <w:separator/>
      </w:r>
    </w:p>
  </w:endnote>
  <w:endnote w:type="continuationSeparator" w:id="0">
    <w:p w14:paraId="74390840" w14:textId="77777777" w:rsidR="00A30644" w:rsidRDefault="00A30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43888822"/>
      <w:docPartObj>
        <w:docPartGallery w:val="Page Numbers (Bottom of Page)"/>
        <w:docPartUnique/>
      </w:docPartObj>
    </w:sdtPr>
    <w:sdtEndPr>
      <w:rPr>
        <w:rStyle w:val="PageNumber"/>
      </w:rPr>
    </w:sdtEndPr>
    <w:sdtContent>
      <w:p w14:paraId="010C4AB1" w14:textId="77777777" w:rsidR="007B33B5" w:rsidRDefault="004962D4" w:rsidP="00BE7C7F">
        <w:pPr>
          <w:pStyle w:val="Footer"/>
          <w:framePr w:wrap="none" w:vAnchor="text" w:hAnchor="margin" w:xAlign="right" w:y="1"/>
          <w:rPr>
            <w:rStyle w:val="PageNumber"/>
          </w:rPr>
        </w:pPr>
        <w:r>
          <w:rPr>
            <w:rStyle w:val="PageNumber"/>
          </w:rPr>
          <w:fldChar w:fldCharType="begin"/>
        </w:r>
        <w:r w:rsidR="007B33B5">
          <w:rPr>
            <w:rStyle w:val="PageNumber"/>
          </w:rPr>
          <w:instrText xml:space="preserve"> PAGE </w:instrText>
        </w:r>
        <w:r>
          <w:rPr>
            <w:rStyle w:val="PageNumber"/>
          </w:rPr>
          <w:fldChar w:fldCharType="end"/>
        </w:r>
      </w:p>
    </w:sdtContent>
  </w:sdt>
  <w:p w14:paraId="4F9A1B2D" w14:textId="77777777" w:rsidR="007B33B5" w:rsidRDefault="007B33B5" w:rsidP="00AF7F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11563765"/>
      <w:docPartObj>
        <w:docPartGallery w:val="Page Numbers (Bottom of Page)"/>
        <w:docPartUnique/>
      </w:docPartObj>
    </w:sdtPr>
    <w:sdtEndPr>
      <w:rPr>
        <w:rStyle w:val="PageNumber"/>
      </w:rPr>
    </w:sdtEndPr>
    <w:sdtContent>
      <w:p w14:paraId="469C0375" w14:textId="2A4C45ED" w:rsidR="007B33B5" w:rsidRDefault="004962D4" w:rsidP="00BE7C7F">
        <w:pPr>
          <w:pStyle w:val="Footer"/>
          <w:framePr w:wrap="none" w:vAnchor="text" w:hAnchor="margin" w:xAlign="right" w:y="1"/>
          <w:rPr>
            <w:rStyle w:val="PageNumber"/>
          </w:rPr>
        </w:pPr>
        <w:r>
          <w:rPr>
            <w:rStyle w:val="PageNumber"/>
          </w:rPr>
          <w:fldChar w:fldCharType="begin"/>
        </w:r>
        <w:r w:rsidR="007B33B5">
          <w:rPr>
            <w:rStyle w:val="PageNumber"/>
          </w:rPr>
          <w:instrText xml:space="preserve"> PAGE </w:instrText>
        </w:r>
        <w:r>
          <w:rPr>
            <w:rStyle w:val="PageNumber"/>
          </w:rPr>
          <w:fldChar w:fldCharType="separate"/>
        </w:r>
        <w:r w:rsidR="00041906">
          <w:rPr>
            <w:rStyle w:val="PageNumber"/>
            <w:noProof/>
          </w:rPr>
          <w:t>2</w:t>
        </w:r>
        <w:r>
          <w:rPr>
            <w:rStyle w:val="PageNumber"/>
          </w:rPr>
          <w:fldChar w:fldCharType="end"/>
        </w:r>
      </w:p>
    </w:sdtContent>
  </w:sdt>
  <w:p w14:paraId="6A3D8913" w14:textId="77777777" w:rsidR="007B33B5" w:rsidRDefault="007B33B5" w:rsidP="00AF7F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934C8" w14:textId="77777777" w:rsidR="00A30644" w:rsidRDefault="00A30644">
      <w:pPr>
        <w:spacing w:after="0"/>
      </w:pPr>
      <w:r>
        <w:separator/>
      </w:r>
    </w:p>
  </w:footnote>
  <w:footnote w:type="continuationSeparator" w:id="0">
    <w:p w14:paraId="0635A09F" w14:textId="77777777" w:rsidR="00A30644" w:rsidRDefault="00A30644">
      <w:pPr>
        <w:spacing w:after="0"/>
      </w:pPr>
      <w:r>
        <w:continuationSeparator/>
      </w:r>
    </w:p>
  </w:footnote>
  <w:footnote w:id="1">
    <w:p w14:paraId="5CB009A4" w14:textId="00BC0757" w:rsidR="00060FE2" w:rsidRPr="00581306" w:rsidRDefault="00060FE2">
      <w:pPr>
        <w:pStyle w:val="FootnoteText"/>
        <w:rPr>
          <w:sz w:val="18"/>
          <w:szCs w:val="18"/>
        </w:rPr>
      </w:pPr>
      <w:r w:rsidRPr="00581306">
        <w:rPr>
          <w:rStyle w:val="FootnoteReference"/>
          <w:color w:val="000000" w:themeColor="text1"/>
          <w:sz w:val="18"/>
          <w:szCs w:val="18"/>
        </w:rPr>
        <w:footnoteRef/>
      </w:r>
      <w:r w:rsidRPr="00581306">
        <w:rPr>
          <w:color w:val="000000" w:themeColor="text1"/>
          <w:sz w:val="18"/>
          <w:szCs w:val="18"/>
        </w:rPr>
        <w:t xml:space="preserve"> </w:t>
      </w:r>
      <w:hyperlink r:id="rId1" w:tgtFrame="_blank" w:history="1">
        <w:r w:rsidRPr="00581306">
          <w:rPr>
            <w:rStyle w:val="Hyperlink"/>
            <w:rFonts w:ascii="Arial" w:hAnsi="Arial" w:cs="Arial"/>
            <w:color w:val="000000" w:themeColor="text1"/>
            <w:sz w:val="18"/>
            <w:szCs w:val="18"/>
            <w:shd w:val="clear" w:color="auto" w:fill="FFFFFF"/>
          </w:rPr>
          <w:t>https://www.drugsandalcohol.ie/35103/1/TDATF_Research_Report-FINAL.pdf</w:t>
        </w:r>
      </w:hyperlink>
    </w:p>
  </w:footnote>
  <w:footnote w:id="2">
    <w:p w14:paraId="484F24E6" w14:textId="77777777" w:rsidR="007B33B5" w:rsidRPr="00F867D4" w:rsidRDefault="007B33B5">
      <w:pPr>
        <w:pStyle w:val="FootnoteText"/>
        <w:rPr>
          <w:sz w:val="16"/>
          <w:szCs w:val="16"/>
        </w:rPr>
      </w:pPr>
      <w:r w:rsidRPr="00F867D4">
        <w:rPr>
          <w:rStyle w:val="FootnoteReference"/>
          <w:sz w:val="16"/>
          <w:szCs w:val="16"/>
        </w:rPr>
        <w:footnoteRef/>
      </w:r>
      <w:r w:rsidRPr="00F867D4">
        <w:rPr>
          <w:sz w:val="16"/>
          <w:szCs w:val="16"/>
        </w:rPr>
        <w:t xml:space="preserve"> HRB National Drugs Library, Treatment Data, Factsheet: 2021 Drug Treatment in Ireland, at </w:t>
      </w:r>
      <w:hyperlink r:id="rId2" w:history="1">
        <w:r w:rsidRPr="00F867D4">
          <w:rPr>
            <w:rStyle w:val="Hyperlink"/>
            <w:sz w:val="16"/>
            <w:szCs w:val="16"/>
          </w:rPr>
          <w:t>https://www.drugsandalcohol.ie/treatment-data/</w:t>
        </w:r>
      </w:hyperlink>
      <w:r w:rsidRPr="00F867D4">
        <w:rPr>
          <w:sz w:val="16"/>
          <w:szCs w:val="16"/>
        </w:rPr>
        <w:t xml:space="preserve"> </w:t>
      </w:r>
    </w:p>
  </w:footnote>
  <w:footnote w:id="3">
    <w:p w14:paraId="1F477308" w14:textId="77777777" w:rsidR="007B33B5" w:rsidRPr="00F867D4" w:rsidRDefault="007B33B5">
      <w:pPr>
        <w:pStyle w:val="FootnoteText"/>
        <w:rPr>
          <w:sz w:val="16"/>
          <w:szCs w:val="16"/>
        </w:rPr>
      </w:pPr>
      <w:r w:rsidRPr="00F867D4">
        <w:rPr>
          <w:rStyle w:val="FootnoteReference"/>
          <w:sz w:val="16"/>
          <w:szCs w:val="16"/>
        </w:rPr>
        <w:footnoteRef/>
      </w:r>
      <w:r w:rsidRPr="00F867D4">
        <w:rPr>
          <w:sz w:val="16"/>
          <w:szCs w:val="16"/>
        </w:rPr>
        <w:t xml:space="preserve"> European Monitoring Centre for Drugs and Drug Addiction Survey, 2020, Reitox national focal points’ activities during the COVID-19 pandemic at </w:t>
      </w:r>
      <w:hyperlink r:id="rId3" w:history="1">
        <w:r w:rsidRPr="00F867D4">
          <w:rPr>
            <w:rStyle w:val="Hyperlink"/>
            <w:sz w:val="16"/>
            <w:szCs w:val="16"/>
          </w:rPr>
          <w:t>https://www.drugsandalcohol.ie/33522/</w:t>
        </w:r>
      </w:hyperlink>
      <w:r w:rsidRPr="00F867D4">
        <w:rPr>
          <w:sz w:val="16"/>
          <w:szCs w:val="16"/>
        </w:rPr>
        <w:t xml:space="preserve"> </w:t>
      </w:r>
    </w:p>
  </w:footnote>
  <w:footnote w:id="4">
    <w:p w14:paraId="1314CDD4" w14:textId="77777777" w:rsidR="007B33B5" w:rsidRPr="00F867D4" w:rsidRDefault="007B33B5">
      <w:pPr>
        <w:pStyle w:val="FootnoteText"/>
        <w:rPr>
          <w:sz w:val="16"/>
          <w:szCs w:val="16"/>
        </w:rPr>
      </w:pPr>
      <w:r w:rsidRPr="00F867D4">
        <w:rPr>
          <w:rStyle w:val="FootnoteReference"/>
          <w:sz w:val="16"/>
          <w:szCs w:val="16"/>
        </w:rPr>
        <w:footnoteRef/>
      </w:r>
      <w:r w:rsidRPr="005D60AB">
        <w:rPr>
          <w:sz w:val="16"/>
          <w:szCs w:val="16"/>
        </w:rPr>
        <w:t xml:space="preserve"> </w:t>
      </w:r>
      <w:r w:rsidRPr="00F867D4">
        <w:rPr>
          <w:sz w:val="16"/>
          <w:szCs w:val="16"/>
        </w:rPr>
        <w:t xml:space="preserve">HRB National Drugs Library, Treatment Data, Factsheet: 2021 Drug Treatment in Ireland, at </w:t>
      </w:r>
      <w:hyperlink r:id="rId4" w:history="1">
        <w:r w:rsidRPr="00F867D4">
          <w:rPr>
            <w:rStyle w:val="Hyperlink"/>
            <w:sz w:val="16"/>
            <w:szCs w:val="16"/>
          </w:rPr>
          <w:t>https://www.drugsandalcohol.ie/treatment-data/</w:t>
        </w:r>
      </w:hyperlink>
      <w:r w:rsidRPr="00F867D4">
        <w:rPr>
          <w:sz w:val="16"/>
          <w:szCs w:val="16"/>
        </w:rPr>
        <w:t xml:space="preserve"> </w:t>
      </w:r>
    </w:p>
  </w:footnote>
  <w:footnote w:id="5">
    <w:p w14:paraId="20290247" w14:textId="77777777" w:rsidR="007B33B5" w:rsidRPr="005D60AB" w:rsidRDefault="007B33B5" w:rsidP="001F5F4A">
      <w:pPr>
        <w:pStyle w:val="FootnoteText"/>
        <w:rPr>
          <w:sz w:val="16"/>
          <w:szCs w:val="16"/>
        </w:rPr>
      </w:pPr>
      <w:r w:rsidRPr="00F867D4">
        <w:rPr>
          <w:rStyle w:val="FootnoteReference"/>
          <w:sz w:val="16"/>
          <w:szCs w:val="16"/>
        </w:rPr>
        <w:footnoteRef/>
      </w:r>
      <w:r w:rsidRPr="00F867D4">
        <w:rPr>
          <w:sz w:val="16"/>
          <w:szCs w:val="16"/>
        </w:rPr>
        <w:t xml:space="preserve"> ‘HRB reports rise in cocaine and crack cocaine treatment’, The Health Research Board, 20</w:t>
      </w:r>
      <w:r w:rsidRPr="00F867D4">
        <w:rPr>
          <w:sz w:val="16"/>
          <w:szCs w:val="16"/>
          <w:vertAlign w:val="superscript"/>
        </w:rPr>
        <w:t>th</w:t>
      </w:r>
      <w:r w:rsidRPr="00F867D4">
        <w:rPr>
          <w:sz w:val="16"/>
          <w:szCs w:val="16"/>
        </w:rPr>
        <w:t xml:space="preserve"> July 2021, at </w:t>
      </w:r>
      <w:hyperlink r:id="rId5" w:history="1">
        <w:r w:rsidRPr="00F867D4">
          <w:rPr>
            <w:rStyle w:val="Hyperlink"/>
            <w:sz w:val="16"/>
            <w:szCs w:val="16"/>
          </w:rPr>
          <w:t>https://www.hrb.ie/news/press-releases/single-press-release/article/hrb-reports-rise-in-cocaine-and-crack-cocaine-treatment/</w:t>
        </w:r>
      </w:hyperlink>
    </w:p>
  </w:footnote>
  <w:footnote w:id="6">
    <w:p w14:paraId="6049237A" w14:textId="77777777" w:rsidR="007B33B5" w:rsidRPr="00F867D4" w:rsidRDefault="007B33B5">
      <w:pPr>
        <w:pStyle w:val="FootnoteText"/>
        <w:rPr>
          <w:sz w:val="16"/>
          <w:szCs w:val="16"/>
        </w:rPr>
      </w:pPr>
      <w:r w:rsidRPr="005D60AB">
        <w:rPr>
          <w:rStyle w:val="FootnoteReference"/>
          <w:sz w:val="16"/>
          <w:szCs w:val="16"/>
        </w:rPr>
        <w:footnoteRef/>
      </w:r>
      <w:r w:rsidRPr="005D60AB">
        <w:rPr>
          <w:sz w:val="16"/>
          <w:szCs w:val="16"/>
        </w:rPr>
        <w:t xml:space="preserve"> ‘</w:t>
      </w:r>
      <w:r w:rsidRPr="00F867D4">
        <w:rPr>
          <w:sz w:val="16"/>
          <w:szCs w:val="16"/>
        </w:rPr>
        <w:t>HRB reports rise in cocaine and crack cocaine treatment’, The Health Research Board, 20</w:t>
      </w:r>
      <w:r w:rsidRPr="00F867D4">
        <w:rPr>
          <w:sz w:val="16"/>
          <w:szCs w:val="16"/>
          <w:vertAlign w:val="superscript"/>
        </w:rPr>
        <w:t>th</w:t>
      </w:r>
      <w:r w:rsidRPr="00F867D4">
        <w:rPr>
          <w:sz w:val="16"/>
          <w:szCs w:val="16"/>
        </w:rPr>
        <w:t xml:space="preserve"> July 2021, at </w:t>
      </w:r>
      <w:hyperlink r:id="rId6" w:history="1">
        <w:r w:rsidRPr="00F867D4">
          <w:rPr>
            <w:rStyle w:val="Hyperlink"/>
            <w:sz w:val="16"/>
            <w:szCs w:val="16"/>
          </w:rPr>
          <w:t>https://www.hrb.ie/news/press-releases/single-press-release/article/hrb-reports-rise-in-cocaine-and-crack-cocaine-treatment/</w:t>
        </w:r>
      </w:hyperlink>
      <w:r w:rsidRPr="00F867D4">
        <w:rPr>
          <w:sz w:val="16"/>
          <w:szCs w:val="16"/>
        </w:rPr>
        <w:t xml:space="preserve"> </w:t>
      </w:r>
    </w:p>
  </w:footnote>
  <w:footnote w:id="7">
    <w:p w14:paraId="70E2D64F" w14:textId="77777777" w:rsidR="007B33B5" w:rsidRPr="00F867D4" w:rsidRDefault="007B33B5" w:rsidP="004B1293">
      <w:pPr>
        <w:pStyle w:val="FootnoteText"/>
        <w:rPr>
          <w:sz w:val="16"/>
          <w:szCs w:val="16"/>
        </w:rPr>
      </w:pPr>
      <w:r w:rsidRPr="00F867D4">
        <w:rPr>
          <w:rStyle w:val="FootnoteReference"/>
          <w:sz w:val="16"/>
          <w:szCs w:val="16"/>
        </w:rPr>
        <w:footnoteRef/>
      </w:r>
      <w:r w:rsidRPr="00F867D4">
        <w:rPr>
          <w:sz w:val="16"/>
          <w:szCs w:val="16"/>
        </w:rPr>
        <w:t xml:space="preserve"> ‘The landscape of substance misuse and its impact on the communities of the Tallaght Drugs and Alcohol Task Force’, accessible at </w:t>
      </w:r>
      <w:hyperlink r:id="rId7" w:history="1">
        <w:r w:rsidRPr="00F867D4">
          <w:rPr>
            <w:rStyle w:val="Hyperlink"/>
            <w:sz w:val="16"/>
            <w:szCs w:val="16"/>
          </w:rPr>
          <w:t>https://tallaghtdatf.ie/wp-content/uploads/2022/08/TDATF-Research-Updated-Final-August-22.pdf</w:t>
        </w:r>
      </w:hyperlink>
      <w:r w:rsidRPr="00F867D4">
        <w:rPr>
          <w:sz w:val="16"/>
          <w:szCs w:val="16"/>
        </w:rPr>
        <w:t xml:space="preserve">, August 2022, p. 6 </w:t>
      </w:r>
    </w:p>
  </w:footnote>
  <w:footnote w:id="8">
    <w:p w14:paraId="4944907B" w14:textId="77777777" w:rsidR="007B33B5" w:rsidRPr="005D60AB" w:rsidRDefault="007B33B5">
      <w:pPr>
        <w:pStyle w:val="FootnoteText"/>
        <w:rPr>
          <w:sz w:val="16"/>
          <w:szCs w:val="16"/>
        </w:rPr>
      </w:pPr>
      <w:r w:rsidRPr="005D60AB">
        <w:rPr>
          <w:rStyle w:val="FootnoteReference"/>
          <w:sz w:val="16"/>
          <w:szCs w:val="16"/>
        </w:rPr>
        <w:footnoteRef/>
      </w:r>
      <w:r w:rsidRPr="005D60AB">
        <w:rPr>
          <w:sz w:val="16"/>
          <w:szCs w:val="16"/>
        </w:rPr>
        <w:t xml:space="preserve"> </w:t>
      </w:r>
      <w:r w:rsidRPr="00F867D4">
        <w:rPr>
          <w:sz w:val="16"/>
          <w:szCs w:val="16"/>
        </w:rPr>
        <w:t>Tallaght Drug &amp; Alcohol Task Force, Report on project activities, 2021-2022, 17</w:t>
      </w:r>
      <w:r w:rsidRPr="00F867D4">
        <w:rPr>
          <w:sz w:val="16"/>
          <w:szCs w:val="16"/>
          <w:vertAlign w:val="superscript"/>
        </w:rPr>
        <w:t>th</w:t>
      </w:r>
      <w:r w:rsidRPr="00F867D4">
        <w:rPr>
          <w:sz w:val="16"/>
          <w:szCs w:val="16"/>
        </w:rPr>
        <w:t xml:space="preserve"> May 2022 p. 5, accessible at </w:t>
      </w:r>
      <w:hyperlink r:id="rId8" w:history="1">
        <w:r w:rsidRPr="00F867D4">
          <w:rPr>
            <w:rStyle w:val="Hyperlink"/>
            <w:sz w:val="16"/>
            <w:szCs w:val="16"/>
          </w:rPr>
          <w:t>https://tallaghtdatf.ie/wp-content/uploads/2022/07/TDATF_annual_report-170522.pdf</w:t>
        </w:r>
      </w:hyperlink>
      <w:r w:rsidRPr="00F867D4">
        <w:rPr>
          <w:sz w:val="16"/>
          <w:szCs w:val="16"/>
        </w:rPr>
        <w:t xml:space="preserve"> </w:t>
      </w:r>
    </w:p>
  </w:footnote>
  <w:footnote w:id="9">
    <w:p w14:paraId="66679B38" w14:textId="77777777" w:rsidR="007B33B5" w:rsidRPr="005D60AB" w:rsidRDefault="007B33B5" w:rsidP="00AC04DD">
      <w:pPr>
        <w:rPr>
          <w:sz w:val="16"/>
          <w:szCs w:val="16"/>
        </w:rPr>
      </w:pPr>
      <w:r w:rsidRPr="005D60AB">
        <w:rPr>
          <w:rStyle w:val="FootnoteReference"/>
          <w:sz w:val="16"/>
          <w:szCs w:val="16"/>
        </w:rPr>
        <w:footnoteRef/>
      </w:r>
      <w:r w:rsidRPr="005D60AB">
        <w:rPr>
          <w:sz w:val="16"/>
          <w:szCs w:val="16"/>
        </w:rPr>
        <w:t xml:space="preserve"> </w:t>
      </w:r>
      <w:r w:rsidRPr="005D60AB">
        <w:rPr>
          <w:rFonts w:cs="Arial"/>
          <w:color w:val="222222"/>
          <w:sz w:val="16"/>
          <w:szCs w:val="16"/>
          <w:shd w:val="clear" w:color="auto" w:fill="FFFFFF"/>
        </w:rPr>
        <w:t>Prochaska, J. O., &amp; DiClemente, C. C. (1983). Stages and processes of self-change of smoking: Toward an integrative model of change. </w:t>
      </w:r>
      <w:r w:rsidRPr="005D60AB">
        <w:rPr>
          <w:rFonts w:cs="Arial"/>
          <w:i/>
          <w:iCs/>
          <w:color w:val="222222"/>
          <w:sz w:val="16"/>
          <w:szCs w:val="16"/>
          <w:shd w:val="clear" w:color="auto" w:fill="FFFFFF"/>
        </w:rPr>
        <w:t>Journal of Consulting and Clinical Psychology</w:t>
      </w:r>
      <w:r w:rsidRPr="005D60AB">
        <w:rPr>
          <w:rFonts w:cs="Arial"/>
          <w:color w:val="222222"/>
          <w:sz w:val="16"/>
          <w:szCs w:val="16"/>
          <w:shd w:val="clear" w:color="auto" w:fill="FFFFFF"/>
        </w:rPr>
        <w:t>, </w:t>
      </w:r>
      <w:r w:rsidRPr="005D60AB">
        <w:rPr>
          <w:rFonts w:cs="Arial"/>
          <w:i/>
          <w:iCs/>
          <w:color w:val="222222"/>
          <w:sz w:val="16"/>
          <w:szCs w:val="16"/>
          <w:shd w:val="clear" w:color="auto" w:fill="FFFFFF"/>
        </w:rPr>
        <w:t>51</w:t>
      </w:r>
      <w:r w:rsidRPr="005D60AB">
        <w:rPr>
          <w:rFonts w:cs="Arial"/>
          <w:color w:val="222222"/>
          <w:sz w:val="16"/>
          <w:szCs w:val="16"/>
          <w:shd w:val="clear" w:color="auto" w:fill="FFFFFF"/>
        </w:rPr>
        <w:t>(3), 390-395. </w:t>
      </w:r>
      <w:hyperlink r:id="rId9" w:tgtFrame="_blank" w:history="1">
        <w:r w:rsidRPr="005D60AB">
          <w:rPr>
            <w:rStyle w:val="Hyperlink"/>
            <w:rFonts w:cs="Arial"/>
            <w:color w:val="337AB7"/>
            <w:sz w:val="16"/>
            <w:szCs w:val="16"/>
          </w:rPr>
          <w:t>http://dx.doi.org/10.1037/0022-006X.51.3.390</w:t>
        </w:r>
      </w:hyperlink>
    </w:p>
    <w:p w14:paraId="2FBA99B2" w14:textId="77777777" w:rsidR="007B33B5" w:rsidRPr="00F867D4" w:rsidRDefault="007B33B5">
      <w:pPr>
        <w:pStyle w:val="FootnoteText"/>
        <w:rPr>
          <w:sz w:val="16"/>
          <w:szCs w:val="16"/>
        </w:rPr>
      </w:pPr>
    </w:p>
  </w:footnote>
  <w:footnote w:id="10">
    <w:p w14:paraId="3BA40761" w14:textId="77777777" w:rsidR="00620F35" w:rsidRPr="005D60AB" w:rsidRDefault="00620F35">
      <w:pPr>
        <w:pStyle w:val="FootnoteText"/>
        <w:rPr>
          <w:sz w:val="16"/>
          <w:szCs w:val="16"/>
        </w:rPr>
      </w:pPr>
      <w:r w:rsidRPr="005D60AB">
        <w:rPr>
          <w:rStyle w:val="FootnoteReference"/>
          <w:sz w:val="16"/>
          <w:szCs w:val="16"/>
        </w:rPr>
        <w:footnoteRef/>
      </w:r>
      <w:r w:rsidRPr="005D60AB">
        <w:rPr>
          <w:sz w:val="16"/>
          <w:szCs w:val="16"/>
        </w:rPr>
        <w:t xml:space="preserve"> </w:t>
      </w:r>
      <w:r w:rsidRPr="005D60AB">
        <w:rPr>
          <w:color w:val="000000" w:themeColor="text1"/>
          <w:sz w:val="16"/>
          <w:szCs w:val="16"/>
        </w:rPr>
        <w:t xml:space="preserve">See NOW Group in Belfast and their local café as an example of a franchised WISE business with cafés at </w:t>
      </w:r>
      <w:hyperlink r:id="rId10" w:history="1">
        <w:r w:rsidRPr="005D60AB">
          <w:rPr>
            <w:rStyle w:val="Hyperlink"/>
            <w:sz w:val="16"/>
            <w:szCs w:val="16"/>
          </w:rPr>
          <w:t>https://www.nowgroup.org</w:t>
        </w:r>
      </w:hyperlink>
      <w:r w:rsidRPr="005D60AB">
        <w:rPr>
          <w:color w:val="FF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5369"/>
    <w:multiLevelType w:val="hybridMultilevel"/>
    <w:tmpl w:val="C17AE92E"/>
    <w:lvl w:ilvl="0" w:tplc="7C26623E">
      <w:start w:val="12"/>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27B7E"/>
    <w:multiLevelType w:val="multilevel"/>
    <w:tmpl w:val="C41E2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E60492"/>
    <w:multiLevelType w:val="hybridMultilevel"/>
    <w:tmpl w:val="F742684E"/>
    <w:lvl w:ilvl="0" w:tplc="0C50B09C">
      <w:start w:val="3"/>
      <w:numFmt w:val="bullet"/>
      <w:lvlText w:val="-"/>
      <w:lvlJc w:val="left"/>
      <w:pPr>
        <w:ind w:left="720" w:hanging="360"/>
      </w:pPr>
      <w:rPr>
        <w:rFonts w:ascii="Century Gothic" w:eastAsia="Times New Roman"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65635"/>
    <w:multiLevelType w:val="multilevel"/>
    <w:tmpl w:val="31B8EBF4"/>
    <w:lvl w:ilvl="0">
      <w:start w:val="1"/>
      <w:numFmt w:val="decimal"/>
      <w:pStyle w:val="Heading1"/>
      <w:lvlText w:val="%1"/>
      <w:lvlJc w:val="left"/>
      <w:pPr>
        <w:ind w:left="432" w:hanging="432"/>
      </w:pPr>
    </w:lvl>
    <w:lvl w:ilvl="1">
      <w:start w:val="1"/>
      <w:numFmt w:val="decimal"/>
      <w:pStyle w:val="Heading2"/>
      <w:lvlText w:val="%1.%2"/>
      <w:lvlJc w:val="left"/>
      <w:pPr>
        <w:ind w:left="1001"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023351"/>
    <w:multiLevelType w:val="hybridMultilevel"/>
    <w:tmpl w:val="37205514"/>
    <w:lvl w:ilvl="0" w:tplc="7C26623E">
      <w:start w:val="12"/>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852E2B"/>
    <w:multiLevelType w:val="multilevel"/>
    <w:tmpl w:val="C07C0D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3D8053C"/>
    <w:multiLevelType w:val="hybridMultilevel"/>
    <w:tmpl w:val="0E147E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E91E59"/>
    <w:multiLevelType w:val="hybridMultilevel"/>
    <w:tmpl w:val="DC6C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390846"/>
    <w:multiLevelType w:val="multilevel"/>
    <w:tmpl w:val="2006D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E7E32"/>
    <w:multiLevelType w:val="hybridMultilevel"/>
    <w:tmpl w:val="4DC4F230"/>
    <w:lvl w:ilvl="0" w:tplc="0C50B09C">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BC576C"/>
    <w:multiLevelType w:val="multilevel"/>
    <w:tmpl w:val="4F921DD4"/>
    <w:lvl w:ilvl="0">
      <w:start w:val="1"/>
      <w:numFmt w:val="decimal"/>
      <w:lvlText w:val="%1"/>
      <w:lvlJc w:val="left"/>
      <w:pPr>
        <w:ind w:left="432" w:hanging="432"/>
      </w:p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305202B"/>
    <w:multiLevelType w:val="hybridMultilevel"/>
    <w:tmpl w:val="7FFA3966"/>
    <w:lvl w:ilvl="0" w:tplc="0C50B09C">
      <w:start w:val="3"/>
      <w:numFmt w:val="bullet"/>
      <w:lvlText w:val="-"/>
      <w:lvlJc w:val="left"/>
      <w:pPr>
        <w:ind w:left="720" w:hanging="360"/>
      </w:pPr>
      <w:rPr>
        <w:rFonts w:ascii="Century Gothic" w:eastAsia="Times New Roman" w:hAnsi="Century Gothic"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AC2EDF"/>
    <w:multiLevelType w:val="hybridMultilevel"/>
    <w:tmpl w:val="A4443E36"/>
    <w:lvl w:ilvl="0" w:tplc="0C50B09C">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1626A"/>
    <w:multiLevelType w:val="hybridMultilevel"/>
    <w:tmpl w:val="513CD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C54A96"/>
    <w:multiLevelType w:val="multilevel"/>
    <w:tmpl w:val="57EE9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380540"/>
    <w:multiLevelType w:val="hybridMultilevel"/>
    <w:tmpl w:val="4A96D01E"/>
    <w:lvl w:ilvl="0" w:tplc="7C26623E">
      <w:start w:val="100"/>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26FEE"/>
    <w:multiLevelType w:val="multilevel"/>
    <w:tmpl w:val="9C4EFCBA"/>
    <w:lvl w:ilvl="0">
      <w:numFmt w:val="bullet"/>
      <w:lvlText w:val="-"/>
      <w:lvlJc w:val="left"/>
      <w:pPr>
        <w:ind w:left="720" w:hanging="360"/>
      </w:pPr>
      <w:rPr>
        <w:rFonts w:ascii="Century Gothic" w:eastAsia="Century Gothic" w:hAnsi="Century Gothic" w:cs="Century Goth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2DB779BE"/>
    <w:multiLevelType w:val="hybridMultilevel"/>
    <w:tmpl w:val="7B32AA4C"/>
    <w:lvl w:ilvl="0" w:tplc="0C50B09C">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A01BB"/>
    <w:multiLevelType w:val="hybridMultilevel"/>
    <w:tmpl w:val="7C7E6698"/>
    <w:lvl w:ilvl="0" w:tplc="2F9CC126">
      <w:start w:val="1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5C90C9D"/>
    <w:multiLevelType w:val="hybridMultilevel"/>
    <w:tmpl w:val="3F24D744"/>
    <w:lvl w:ilvl="0" w:tplc="B54EE88C">
      <w:numFmt w:val="bullet"/>
      <w:lvlText w:val="-"/>
      <w:lvlJc w:val="left"/>
      <w:pPr>
        <w:ind w:left="720" w:hanging="360"/>
      </w:pPr>
      <w:rPr>
        <w:rFonts w:ascii="Century Gothic" w:eastAsia="Calibri"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02D7F"/>
    <w:multiLevelType w:val="hybridMultilevel"/>
    <w:tmpl w:val="368AD846"/>
    <w:lvl w:ilvl="0" w:tplc="8640CCB6">
      <w:start w:val="1"/>
      <w:numFmt w:val="bullet"/>
      <w:lvlText w:val=" "/>
      <w:lvlJc w:val="left"/>
      <w:pPr>
        <w:tabs>
          <w:tab w:val="num" w:pos="720"/>
        </w:tabs>
        <w:ind w:left="720" w:hanging="360"/>
      </w:pPr>
      <w:rPr>
        <w:rFonts w:ascii="Calibri" w:hAnsi="Calibri" w:hint="default"/>
      </w:rPr>
    </w:lvl>
    <w:lvl w:ilvl="1" w:tplc="0D3AEA3A" w:tentative="1">
      <w:start w:val="1"/>
      <w:numFmt w:val="bullet"/>
      <w:lvlText w:val=" "/>
      <w:lvlJc w:val="left"/>
      <w:pPr>
        <w:tabs>
          <w:tab w:val="num" w:pos="1440"/>
        </w:tabs>
        <w:ind w:left="1440" w:hanging="360"/>
      </w:pPr>
      <w:rPr>
        <w:rFonts w:ascii="Calibri" w:hAnsi="Calibri" w:hint="default"/>
      </w:rPr>
    </w:lvl>
    <w:lvl w:ilvl="2" w:tplc="7654F5A0" w:tentative="1">
      <w:start w:val="1"/>
      <w:numFmt w:val="bullet"/>
      <w:lvlText w:val=" "/>
      <w:lvlJc w:val="left"/>
      <w:pPr>
        <w:tabs>
          <w:tab w:val="num" w:pos="2160"/>
        </w:tabs>
        <w:ind w:left="2160" w:hanging="360"/>
      </w:pPr>
      <w:rPr>
        <w:rFonts w:ascii="Calibri" w:hAnsi="Calibri" w:hint="default"/>
      </w:rPr>
    </w:lvl>
    <w:lvl w:ilvl="3" w:tplc="A59CBE86" w:tentative="1">
      <w:start w:val="1"/>
      <w:numFmt w:val="bullet"/>
      <w:lvlText w:val=" "/>
      <w:lvlJc w:val="left"/>
      <w:pPr>
        <w:tabs>
          <w:tab w:val="num" w:pos="2880"/>
        </w:tabs>
        <w:ind w:left="2880" w:hanging="360"/>
      </w:pPr>
      <w:rPr>
        <w:rFonts w:ascii="Calibri" w:hAnsi="Calibri" w:hint="default"/>
      </w:rPr>
    </w:lvl>
    <w:lvl w:ilvl="4" w:tplc="9256658C" w:tentative="1">
      <w:start w:val="1"/>
      <w:numFmt w:val="bullet"/>
      <w:lvlText w:val=" "/>
      <w:lvlJc w:val="left"/>
      <w:pPr>
        <w:tabs>
          <w:tab w:val="num" w:pos="3600"/>
        </w:tabs>
        <w:ind w:left="3600" w:hanging="360"/>
      </w:pPr>
      <w:rPr>
        <w:rFonts w:ascii="Calibri" w:hAnsi="Calibri" w:hint="default"/>
      </w:rPr>
    </w:lvl>
    <w:lvl w:ilvl="5" w:tplc="02548A7C" w:tentative="1">
      <w:start w:val="1"/>
      <w:numFmt w:val="bullet"/>
      <w:lvlText w:val=" "/>
      <w:lvlJc w:val="left"/>
      <w:pPr>
        <w:tabs>
          <w:tab w:val="num" w:pos="4320"/>
        </w:tabs>
        <w:ind w:left="4320" w:hanging="360"/>
      </w:pPr>
      <w:rPr>
        <w:rFonts w:ascii="Calibri" w:hAnsi="Calibri" w:hint="default"/>
      </w:rPr>
    </w:lvl>
    <w:lvl w:ilvl="6" w:tplc="1B5A9194" w:tentative="1">
      <w:start w:val="1"/>
      <w:numFmt w:val="bullet"/>
      <w:lvlText w:val=" "/>
      <w:lvlJc w:val="left"/>
      <w:pPr>
        <w:tabs>
          <w:tab w:val="num" w:pos="5040"/>
        </w:tabs>
        <w:ind w:left="5040" w:hanging="360"/>
      </w:pPr>
      <w:rPr>
        <w:rFonts w:ascii="Calibri" w:hAnsi="Calibri" w:hint="default"/>
      </w:rPr>
    </w:lvl>
    <w:lvl w:ilvl="7" w:tplc="7B981214" w:tentative="1">
      <w:start w:val="1"/>
      <w:numFmt w:val="bullet"/>
      <w:lvlText w:val=" "/>
      <w:lvlJc w:val="left"/>
      <w:pPr>
        <w:tabs>
          <w:tab w:val="num" w:pos="5760"/>
        </w:tabs>
        <w:ind w:left="5760" w:hanging="360"/>
      </w:pPr>
      <w:rPr>
        <w:rFonts w:ascii="Calibri" w:hAnsi="Calibri" w:hint="default"/>
      </w:rPr>
    </w:lvl>
    <w:lvl w:ilvl="8" w:tplc="D2ACB6EE" w:tentative="1">
      <w:start w:val="1"/>
      <w:numFmt w:val="bullet"/>
      <w:lvlText w:val=" "/>
      <w:lvlJc w:val="left"/>
      <w:pPr>
        <w:tabs>
          <w:tab w:val="num" w:pos="6480"/>
        </w:tabs>
        <w:ind w:left="6480" w:hanging="360"/>
      </w:pPr>
      <w:rPr>
        <w:rFonts w:ascii="Calibri" w:hAnsi="Calibri" w:hint="default"/>
      </w:rPr>
    </w:lvl>
  </w:abstractNum>
  <w:abstractNum w:abstractNumId="21" w15:restartNumberingAfterBreak="0">
    <w:nsid w:val="38652E39"/>
    <w:multiLevelType w:val="multilevel"/>
    <w:tmpl w:val="DADCC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FC9346D"/>
    <w:multiLevelType w:val="hybridMultilevel"/>
    <w:tmpl w:val="EF6CAFF4"/>
    <w:lvl w:ilvl="0" w:tplc="0C50B09C">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754020"/>
    <w:multiLevelType w:val="hybridMultilevel"/>
    <w:tmpl w:val="876E1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04BAA"/>
    <w:multiLevelType w:val="hybridMultilevel"/>
    <w:tmpl w:val="E7D44B72"/>
    <w:lvl w:ilvl="0" w:tplc="0C50B09C">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467E22"/>
    <w:multiLevelType w:val="hybridMultilevel"/>
    <w:tmpl w:val="5D529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DD2CB8"/>
    <w:multiLevelType w:val="hybridMultilevel"/>
    <w:tmpl w:val="7B446CE4"/>
    <w:lvl w:ilvl="0" w:tplc="C8FE5DC0">
      <w:start w:val="1"/>
      <w:numFmt w:val="decimal"/>
      <w:lvlText w:val="%1."/>
      <w:lvlJc w:val="left"/>
      <w:pPr>
        <w:tabs>
          <w:tab w:val="num" w:pos="720"/>
        </w:tabs>
        <w:ind w:left="720" w:hanging="360"/>
      </w:pPr>
    </w:lvl>
    <w:lvl w:ilvl="1" w:tplc="F452710C" w:tentative="1">
      <w:start w:val="1"/>
      <w:numFmt w:val="decimal"/>
      <w:lvlText w:val="%2."/>
      <w:lvlJc w:val="left"/>
      <w:pPr>
        <w:tabs>
          <w:tab w:val="num" w:pos="1440"/>
        </w:tabs>
        <w:ind w:left="1440" w:hanging="360"/>
      </w:pPr>
    </w:lvl>
    <w:lvl w:ilvl="2" w:tplc="3DD8EEA8">
      <w:start w:val="18"/>
      <w:numFmt w:val="bullet"/>
      <w:lvlText w:val="•"/>
      <w:lvlJc w:val="left"/>
      <w:pPr>
        <w:tabs>
          <w:tab w:val="num" w:pos="2160"/>
        </w:tabs>
        <w:ind w:left="2160" w:hanging="360"/>
      </w:pPr>
      <w:rPr>
        <w:rFonts w:ascii="Arial" w:hAnsi="Arial" w:hint="default"/>
      </w:rPr>
    </w:lvl>
    <w:lvl w:ilvl="3" w:tplc="61406A08">
      <w:start w:val="18"/>
      <w:numFmt w:val="bullet"/>
      <w:lvlText w:val="•"/>
      <w:lvlJc w:val="left"/>
      <w:pPr>
        <w:tabs>
          <w:tab w:val="num" w:pos="2880"/>
        </w:tabs>
        <w:ind w:left="2880" w:hanging="360"/>
      </w:pPr>
      <w:rPr>
        <w:rFonts w:ascii="Arial" w:hAnsi="Arial" w:hint="default"/>
      </w:rPr>
    </w:lvl>
    <w:lvl w:ilvl="4" w:tplc="20469892" w:tentative="1">
      <w:start w:val="1"/>
      <w:numFmt w:val="decimal"/>
      <w:lvlText w:val="%5."/>
      <w:lvlJc w:val="left"/>
      <w:pPr>
        <w:tabs>
          <w:tab w:val="num" w:pos="3600"/>
        </w:tabs>
        <w:ind w:left="3600" w:hanging="360"/>
      </w:pPr>
    </w:lvl>
    <w:lvl w:ilvl="5" w:tplc="7D1074DA" w:tentative="1">
      <w:start w:val="1"/>
      <w:numFmt w:val="decimal"/>
      <w:lvlText w:val="%6."/>
      <w:lvlJc w:val="left"/>
      <w:pPr>
        <w:tabs>
          <w:tab w:val="num" w:pos="4320"/>
        </w:tabs>
        <w:ind w:left="4320" w:hanging="360"/>
      </w:pPr>
    </w:lvl>
    <w:lvl w:ilvl="6" w:tplc="4426B9AC" w:tentative="1">
      <w:start w:val="1"/>
      <w:numFmt w:val="decimal"/>
      <w:lvlText w:val="%7."/>
      <w:lvlJc w:val="left"/>
      <w:pPr>
        <w:tabs>
          <w:tab w:val="num" w:pos="5040"/>
        </w:tabs>
        <w:ind w:left="5040" w:hanging="360"/>
      </w:pPr>
    </w:lvl>
    <w:lvl w:ilvl="7" w:tplc="8C8ECE9E" w:tentative="1">
      <w:start w:val="1"/>
      <w:numFmt w:val="decimal"/>
      <w:lvlText w:val="%8."/>
      <w:lvlJc w:val="left"/>
      <w:pPr>
        <w:tabs>
          <w:tab w:val="num" w:pos="5760"/>
        </w:tabs>
        <w:ind w:left="5760" w:hanging="360"/>
      </w:pPr>
    </w:lvl>
    <w:lvl w:ilvl="8" w:tplc="0F44FD36" w:tentative="1">
      <w:start w:val="1"/>
      <w:numFmt w:val="decimal"/>
      <w:lvlText w:val="%9."/>
      <w:lvlJc w:val="left"/>
      <w:pPr>
        <w:tabs>
          <w:tab w:val="num" w:pos="6480"/>
        </w:tabs>
        <w:ind w:left="6480" w:hanging="360"/>
      </w:pPr>
    </w:lvl>
  </w:abstractNum>
  <w:abstractNum w:abstractNumId="27" w15:restartNumberingAfterBreak="0">
    <w:nsid w:val="4CB57A4E"/>
    <w:multiLevelType w:val="multilevel"/>
    <w:tmpl w:val="AE3CD0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EC35D20"/>
    <w:multiLevelType w:val="hybridMultilevel"/>
    <w:tmpl w:val="B53440B8"/>
    <w:lvl w:ilvl="0" w:tplc="0C50B09C">
      <w:start w:val="3"/>
      <w:numFmt w:val="bullet"/>
      <w:lvlText w:val="-"/>
      <w:lvlJc w:val="left"/>
      <w:pPr>
        <w:ind w:left="720" w:hanging="360"/>
      </w:pPr>
      <w:rPr>
        <w:rFonts w:ascii="Century Gothic" w:eastAsia="Times New Roman"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842090"/>
    <w:multiLevelType w:val="hybridMultilevel"/>
    <w:tmpl w:val="F0C453E8"/>
    <w:lvl w:ilvl="0" w:tplc="7C26623E">
      <w:start w:val="100"/>
      <w:numFmt w:val="bullet"/>
      <w:lvlText w:val="-"/>
      <w:lvlJc w:val="left"/>
      <w:pPr>
        <w:ind w:left="720" w:hanging="360"/>
      </w:pPr>
      <w:rPr>
        <w:rFonts w:ascii="Century Gothic" w:eastAsia="Century Gothic"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1D7DA5"/>
    <w:multiLevelType w:val="hybridMultilevel"/>
    <w:tmpl w:val="0F56B23C"/>
    <w:lvl w:ilvl="0" w:tplc="0C50B09C">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F3A2F"/>
    <w:multiLevelType w:val="hybridMultilevel"/>
    <w:tmpl w:val="CEAC2668"/>
    <w:lvl w:ilvl="0" w:tplc="0C50B09C">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0071B7"/>
    <w:multiLevelType w:val="hybridMultilevel"/>
    <w:tmpl w:val="9D08A9C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C1B5047"/>
    <w:multiLevelType w:val="multilevel"/>
    <w:tmpl w:val="0C7EB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E813B86"/>
    <w:multiLevelType w:val="hybridMultilevel"/>
    <w:tmpl w:val="967C941E"/>
    <w:lvl w:ilvl="0" w:tplc="0C50B09C">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F50BCA"/>
    <w:multiLevelType w:val="hybridMultilevel"/>
    <w:tmpl w:val="DACC86A2"/>
    <w:lvl w:ilvl="0" w:tplc="0C50B09C">
      <w:start w:val="3"/>
      <w:numFmt w:val="bullet"/>
      <w:lvlText w:val="-"/>
      <w:lvlJc w:val="left"/>
      <w:pPr>
        <w:ind w:left="720" w:hanging="360"/>
      </w:pPr>
      <w:rPr>
        <w:rFonts w:ascii="Century Gothic" w:eastAsia="Times New Roman" w:hAnsi="Century Gothic"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7628CA"/>
    <w:multiLevelType w:val="hybridMultilevel"/>
    <w:tmpl w:val="1D0E014E"/>
    <w:lvl w:ilvl="0" w:tplc="0C50B09C">
      <w:start w:val="3"/>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102E2D"/>
    <w:multiLevelType w:val="hybridMultilevel"/>
    <w:tmpl w:val="136452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C7A61F7"/>
    <w:multiLevelType w:val="hybridMultilevel"/>
    <w:tmpl w:val="F36C0C1C"/>
    <w:lvl w:ilvl="0" w:tplc="B54EE88C">
      <w:numFmt w:val="bullet"/>
      <w:lvlText w:val="-"/>
      <w:lvlJc w:val="left"/>
      <w:pPr>
        <w:ind w:left="720" w:hanging="360"/>
      </w:pPr>
      <w:rPr>
        <w:rFonts w:ascii="Century Gothic" w:eastAsia="Calibri" w:hAnsi="Century Gothic"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FA434B"/>
    <w:multiLevelType w:val="multilevel"/>
    <w:tmpl w:val="CA04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3C47E35"/>
    <w:multiLevelType w:val="hybridMultilevel"/>
    <w:tmpl w:val="317A5FA0"/>
    <w:lvl w:ilvl="0" w:tplc="D896A338">
      <w:start w:val="1"/>
      <w:numFmt w:val="bullet"/>
      <w:lvlText w:val="-"/>
      <w:lvlJc w:val="left"/>
      <w:pPr>
        <w:tabs>
          <w:tab w:val="num" w:pos="720"/>
        </w:tabs>
        <w:ind w:left="720" w:hanging="360"/>
      </w:pPr>
      <w:rPr>
        <w:rFonts w:ascii="Century Gothic" w:hAnsi="Century Gothic" w:hint="default"/>
      </w:rPr>
    </w:lvl>
    <w:lvl w:ilvl="1" w:tplc="1FAC6FFC" w:tentative="1">
      <w:start w:val="1"/>
      <w:numFmt w:val="bullet"/>
      <w:lvlText w:val="-"/>
      <w:lvlJc w:val="left"/>
      <w:pPr>
        <w:tabs>
          <w:tab w:val="num" w:pos="1440"/>
        </w:tabs>
        <w:ind w:left="1440" w:hanging="360"/>
      </w:pPr>
      <w:rPr>
        <w:rFonts w:ascii="Century Gothic" w:hAnsi="Century Gothic" w:hint="default"/>
      </w:rPr>
    </w:lvl>
    <w:lvl w:ilvl="2" w:tplc="7D34BEBA" w:tentative="1">
      <w:start w:val="1"/>
      <w:numFmt w:val="bullet"/>
      <w:lvlText w:val="-"/>
      <w:lvlJc w:val="left"/>
      <w:pPr>
        <w:tabs>
          <w:tab w:val="num" w:pos="2160"/>
        </w:tabs>
        <w:ind w:left="2160" w:hanging="360"/>
      </w:pPr>
      <w:rPr>
        <w:rFonts w:ascii="Century Gothic" w:hAnsi="Century Gothic" w:hint="default"/>
      </w:rPr>
    </w:lvl>
    <w:lvl w:ilvl="3" w:tplc="60644F8E" w:tentative="1">
      <w:start w:val="1"/>
      <w:numFmt w:val="bullet"/>
      <w:lvlText w:val="-"/>
      <w:lvlJc w:val="left"/>
      <w:pPr>
        <w:tabs>
          <w:tab w:val="num" w:pos="2880"/>
        </w:tabs>
        <w:ind w:left="2880" w:hanging="360"/>
      </w:pPr>
      <w:rPr>
        <w:rFonts w:ascii="Century Gothic" w:hAnsi="Century Gothic" w:hint="default"/>
      </w:rPr>
    </w:lvl>
    <w:lvl w:ilvl="4" w:tplc="4E125C84" w:tentative="1">
      <w:start w:val="1"/>
      <w:numFmt w:val="bullet"/>
      <w:lvlText w:val="-"/>
      <w:lvlJc w:val="left"/>
      <w:pPr>
        <w:tabs>
          <w:tab w:val="num" w:pos="3600"/>
        </w:tabs>
        <w:ind w:left="3600" w:hanging="360"/>
      </w:pPr>
      <w:rPr>
        <w:rFonts w:ascii="Century Gothic" w:hAnsi="Century Gothic" w:hint="default"/>
      </w:rPr>
    </w:lvl>
    <w:lvl w:ilvl="5" w:tplc="C7D279B0" w:tentative="1">
      <w:start w:val="1"/>
      <w:numFmt w:val="bullet"/>
      <w:lvlText w:val="-"/>
      <w:lvlJc w:val="left"/>
      <w:pPr>
        <w:tabs>
          <w:tab w:val="num" w:pos="4320"/>
        </w:tabs>
        <w:ind w:left="4320" w:hanging="360"/>
      </w:pPr>
      <w:rPr>
        <w:rFonts w:ascii="Century Gothic" w:hAnsi="Century Gothic" w:hint="default"/>
      </w:rPr>
    </w:lvl>
    <w:lvl w:ilvl="6" w:tplc="CAC8DE24" w:tentative="1">
      <w:start w:val="1"/>
      <w:numFmt w:val="bullet"/>
      <w:lvlText w:val="-"/>
      <w:lvlJc w:val="left"/>
      <w:pPr>
        <w:tabs>
          <w:tab w:val="num" w:pos="5040"/>
        </w:tabs>
        <w:ind w:left="5040" w:hanging="360"/>
      </w:pPr>
      <w:rPr>
        <w:rFonts w:ascii="Century Gothic" w:hAnsi="Century Gothic" w:hint="default"/>
      </w:rPr>
    </w:lvl>
    <w:lvl w:ilvl="7" w:tplc="C59A5010" w:tentative="1">
      <w:start w:val="1"/>
      <w:numFmt w:val="bullet"/>
      <w:lvlText w:val="-"/>
      <w:lvlJc w:val="left"/>
      <w:pPr>
        <w:tabs>
          <w:tab w:val="num" w:pos="5760"/>
        </w:tabs>
        <w:ind w:left="5760" w:hanging="360"/>
      </w:pPr>
      <w:rPr>
        <w:rFonts w:ascii="Century Gothic" w:hAnsi="Century Gothic" w:hint="default"/>
      </w:rPr>
    </w:lvl>
    <w:lvl w:ilvl="8" w:tplc="C78AA4E0" w:tentative="1">
      <w:start w:val="1"/>
      <w:numFmt w:val="bullet"/>
      <w:lvlText w:val="-"/>
      <w:lvlJc w:val="left"/>
      <w:pPr>
        <w:tabs>
          <w:tab w:val="num" w:pos="6480"/>
        </w:tabs>
        <w:ind w:left="6480" w:hanging="360"/>
      </w:pPr>
      <w:rPr>
        <w:rFonts w:ascii="Century Gothic" w:hAnsi="Century Gothic" w:hint="default"/>
      </w:rPr>
    </w:lvl>
  </w:abstractNum>
  <w:abstractNum w:abstractNumId="41" w15:restartNumberingAfterBreak="0">
    <w:nsid w:val="757B4A0B"/>
    <w:multiLevelType w:val="hybridMultilevel"/>
    <w:tmpl w:val="8D50D2BA"/>
    <w:lvl w:ilvl="0" w:tplc="D22C8E02">
      <w:start w:val="1"/>
      <w:numFmt w:val="decimal"/>
      <w:lvlText w:val="%1."/>
      <w:lvlJc w:val="left"/>
      <w:pPr>
        <w:ind w:left="720" w:hanging="360"/>
      </w:pPr>
      <w:rPr>
        <w:rFonts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874A95"/>
    <w:multiLevelType w:val="multilevel"/>
    <w:tmpl w:val="1A882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9DA74A3"/>
    <w:multiLevelType w:val="hybridMultilevel"/>
    <w:tmpl w:val="BE16E266"/>
    <w:lvl w:ilvl="0" w:tplc="1D00019E">
      <w:start w:val="1"/>
      <w:numFmt w:val="decimal"/>
      <w:lvlText w:val="%1."/>
      <w:lvlJc w:val="left"/>
      <w:pPr>
        <w:ind w:left="360" w:hanging="360"/>
      </w:pPr>
      <w:rPr>
        <w:rFonts w:hint="default"/>
        <w:b/>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B170638"/>
    <w:multiLevelType w:val="multilevel"/>
    <w:tmpl w:val="78AA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661045"/>
    <w:multiLevelType w:val="multilevel"/>
    <w:tmpl w:val="AFB441E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16"/>
  </w:num>
  <w:num w:numId="2">
    <w:abstractNumId w:val="42"/>
  </w:num>
  <w:num w:numId="3">
    <w:abstractNumId w:val="39"/>
  </w:num>
  <w:num w:numId="4">
    <w:abstractNumId w:val="33"/>
  </w:num>
  <w:num w:numId="5">
    <w:abstractNumId w:val="10"/>
  </w:num>
  <w:num w:numId="6">
    <w:abstractNumId w:val="5"/>
  </w:num>
  <w:num w:numId="7">
    <w:abstractNumId w:val="45"/>
  </w:num>
  <w:num w:numId="8">
    <w:abstractNumId w:val="1"/>
  </w:num>
  <w:num w:numId="9">
    <w:abstractNumId w:val="21"/>
  </w:num>
  <w:num w:numId="10">
    <w:abstractNumId w:val="27"/>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1"/>
  </w:num>
  <w:num w:numId="16">
    <w:abstractNumId w:val="18"/>
  </w:num>
  <w:num w:numId="17">
    <w:abstractNumId w:val="35"/>
  </w:num>
  <w:num w:numId="18">
    <w:abstractNumId w:val="19"/>
  </w:num>
  <w:num w:numId="19">
    <w:abstractNumId w:val="38"/>
  </w:num>
  <w:num w:numId="20">
    <w:abstractNumId w:val="15"/>
  </w:num>
  <w:num w:numId="21">
    <w:abstractNumId w:val="29"/>
  </w:num>
  <w:num w:numId="22">
    <w:abstractNumId w:val="0"/>
  </w:num>
  <w:num w:numId="23">
    <w:abstractNumId w:val="4"/>
  </w:num>
  <w:num w:numId="24">
    <w:abstractNumId w:val="11"/>
  </w:num>
  <w:num w:numId="25">
    <w:abstractNumId w:val="44"/>
  </w:num>
  <w:num w:numId="26">
    <w:abstractNumId w:val="14"/>
  </w:num>
  <w:num w:numId="27">
    <w:abstractNumId w:val="8"/>
  </w:num>
  <w:num w:numId="28">
    <w:abstractNumId w:val="7"/>
  </w:num>
  <w:num w:numId="29">
    <w:abstractNumId w:val="41"/>
  </w:num>
  <w:num w:numId="30">
    <w:abstractNumId w:val="43"/>
  </w:num>
  <w:num w:numId="31">
    <w:abstractNumId w:val="3"/>
  </w:num>
  <w:num w:numId="32">
    <w:abstractNumId w:val="30"/>
  </w:num>
  <w:num w:numId="33">
    <w:abstractNumId w:val="12"/>
  </w:num>
  <w:num w:numId="34">
    <w:abstractNumId w:val="25"/>
  </w:num>
  <w:num w:numId="35">
    <w:abstractNumId w:val="24"/>
  </w:num>
  <w:num w:numId="36">
    <w:abstractNumId w:val="6"/>
  </w:num>
  <w:num w:numId="37">
    <w:abstractNumId w:val="37"/>
  </w:num>
  <w:num w:numId="38">
    <w:abstractNumId w:val="32"/>
  </w:num>
  <w:num w:numId="39">
    <w:abstractNumId w:val="20"/>
  </w:num>
  <w:num w:numId="40">
    <w:abstractNumId w:val="40"/>
  </w:num>
  <w:num w:numId="41">
    <w:abstractNumId w:val="26"/>
  </w:num>
  <w:num w:numId="42">
    <w:abstractNumId w:val="34"/>
  </w:num>
  <w:num w:numId="43">
    <w:abstractNumId w:val="36"/>
  </w:num>
  <w:num w:numId="44">
    <w:abstractNumId w:val="28"/>
  </w:num>
  <w:num w:numId="45">
    <w:abstractNumId w:val="17"/>
  </w:num>
  <w:num w:numId="46">
    <w:abstractNumId w:val="9"/>
  </w:num>
  <w:num w:numId="47">
    <w:abstractNumId w:val="22"/>
  </w:num>
  <w:num w:numId="48">
    <w:abstractNumId w:val="23"/>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281"/>
    <w:rsid w:val="00000DFA"/>
    <w:rsid w:val="00007055"/>
    <w:rsid w:val="000070B9"/>
    <w:rsid w:val="000111B7"/>
    <w:rsid w:val="00011588"/>
    <w:rsid w:val="00011DE9"/>
    <w:rsid w:val="00014DD2"/>
    <w:rsid w:val="000215AF"/>
    <w:rsid w:val="00022687"/>
    <w:rsid w:val="00024B98"/>
    <w:rsid w:val="000274A4"/>
    <w:rsid w:val="00027799"/>
    <w:rsid w:val="00030FE5"/>
    <w:rsid w:val="00032911"/>
    <w:rsid w:val="00034A81"/>
    <w:rsid w:val="00035494"/>
    <w:rsid w:val="00036BEE"/>
    <w:rsid w:val="00036D4A"/>
    <w:rsid w:val="00037088"/>
    <w:rsid w:val="00041906"/>
    <w:rsid w:val="00046342"/>
    <w:rsid w:val="000471B0"/>
    <w:rsid w:val="00051922"/>
    <w:rsid w:val="00054949"/>
    <w:rsid w:val="0005723E"/>
    <w:rsid w:val="00057306"/>
    <w:rsid w:val="00057B51"/>
    <w:rsid w:val="00060C69"/>
    <w:rsid w:val="00060FE2"/>
    <w:rsid w:val="00063620"/>
    <w:rsid w:val="00063914"/>
    <w:rsid w:val="0006500F"/>
    <w:rsid w:val="0006599E"/>
    <w:rsid w:val="00065F06"/>
    <w:rsid w:val="000716AD"/>
    <w:rsid w:val="000744C3"/>
    <w:rsid w:val="00074500"/>
    <w:rsid w:val="00075DEE"/>
    <w:rsid w:val="000800F3"/>
    <w:rsid w:val="00086126"/>
    <w:rsid w:val="0009068A"/>
    <w:rsid w:val="00092B12"/>
    <w:rsid w:val="000941A9"/>
    <w:rsid w:val="00097536"/>
    <w:rsid w:val="000A2472"/>
    <w:rsid w:val="000A3AFF"/>
    <w:rsid w:val="000A4A24"/>
    <w:rsid w:val="000A4E2E"/>
    <w:rsid w:val="000A4EA0"/>
    <w:rsid w:val="000B052E"/>
    <w:rsid w:val="000B440E"/>
    <w:rsid w:val="000B5750"/>
    <w:rsid w:val="000B5A37"/>
    <w:rsid w:val="000B792B"/>
    <w:rsid w:val="000B7E57"/>
    <w:rsid w:val="000C1DEE"/>
    <w:rsid w:val="000C4416"/>
    <w:rsid w:val="000C4A0B"/>
    <w:rsid w:val="000C66F7"/>
    <w:rsid w:val="000C6F4E"/>
    <w:rsid w:val="000C7D15"/>
    <w:rsid w:val="000D1033"/>
    <w:rsid w:val="000D1095"/>
    <w:rsid w:val="000D13CD"/>
    <w:rsid w:val="000D27ED"/>
    <w:rsid w:val="000D29E7"/>
    <w:rsid w:val="000D4816"/>
    <w:rsid w:val="000D51C3"/>
    <w:rsid w:val="000D56AA"/>
    <w:rsid w:val="000D6512"/>
    <w:rsid w:val="000E63BE"/>
    <w:rsid w:val="000E6C0F"/>
    <w:rsid w:val="000F0EFA"/>
    <w:rsid w:val="000F1699"/>
    <w:rsid w:val="000F7559"/>
    <w:rsid w:val="00100A9B"/>
    <w:rsid w:val="00100B52"/>
    <w:rsid w:val="00100B90"/>
    <w:rsid w:val="00102201"/>
    <w:rsid w:val="00112D7A"/>
    <w:rsid w:val="001146A8"/>
    <w:rsid w:val="001175EE"/>
    <w:rsid w:val="00117685"/>
    <w:rsid w:val="0013244B"/>
    <w:rsid w:val="00134C0C"/>
    <w:rsid w:val="001358FB"/>
    <w:rsid w:val="00135E8A"/>
    <w:rsid w:val="00137E8B"/>
    <w:rsid w:val="00140B57"/>
    <w:rsid w:val="00144B9F"/>
    <w:rsid w:val="00151A3A"/>
    <w:rsid w:val="001524E5"/>
    <w:rsid w:val="0015650E"/>
    <w:rsid w:val="001631F2"/>
    <w:rsid w:val="00165571"/>
    <w:rsid w:val="00166EA4"/>
    <w:rsid w:val="001733BE"/>
    <w:rsid w:val="00173CB8"/>
    <w:rsid w:val="00176B3B"/>
    <w:rsid w:val="00182170"/>
    <w:rsid w:val="00182495"/>
    <w:rsid w:val="00182639"/>
    <w:rsid w:val="00194B23"/>
    <w:rsid w:val="001A1B09"/>
    <w:rsid w:val="001A2599"/>
    <w:rsid w:val="001A2AF6"/>
    <w:rsid w:val="001A350F"/>
    <w:rsid w:val="001A5512"/>
    <w:rsid w:val="001A6ECD"/>
    <w:rsid w:val="001B6E33"/>
    <w:rsid w:val="001C3C54"/>
    <w:rsid w:val="001C7192"/>
    <w:rsid w:val="001D0D25"/>
    <w:rsid w:val="001D4D71"/>
    <w:rsid w:val="001E1BD6"/>
    <w:rsid w:val="001E3B85"/>
    <w:rsid w:val="001E3C03"/>
    <w:rsid w:val="001E45FC"/>
    <w:rsid w:val="001E6438"/>
    <w:rsid w:val="001F01FA"/>
    <w:rsid w:val="001F0B22"/>
    <w:rsid w:val="001F2328"/>
    <w:rsid w:val="001F5F4A"/>
    <w:rsid w:val="001F7C90"/>
    <w:rsid w:val="002054A1"/>
    <w:rsid w:val="00210EE2"/>
    <w:rsid w:val="00213E8D"/>
    <w:rsid w:val="00222148"/>
    <w:rsid w:val="0022295C"/>
    <w:rsid w:val="00223826"/>
    <w:rsid w:val="002251C8"/>
    <w:rsid w:val="002255AD"/>
    <w:rsid w:val="002260C9"/>
    <w:rsid w:val="002307D9"/>
    <w:rsid w:val="00232F4A"/>
    <w:rsid w:val="002335BE"/>
    <w:rsid w:val="002404DC"/>
    <w:rsid w:val="00241473"/>
    <w:rsid w:val="002441AE"/>
    <w:rsid w:val="00244C3B"/>
    <w:rsid w:val="00244CBD"/>
    <w:rsid w:val="00251C00"/>
    <w:rsid w:val="002617F0"/>
    <w:rsid w:val="00262699"/>
    <w:rsid w:val="00263CBF"/>
    <w:rsid w:val="002659F4"/>
    <w:rsid w:val="002729E9"/>
    <w:rsid w:val="00273191"/>
    <w:rsid w:val="00273A60"/>
    <w:rsid w:val="00280C8F"/>
    <w:rsid w:val="00283694"/>
    <w:rsid w:val="002906CB"/>
    <w:rsid w:val="00291BAA"/>
    <w:rsid w:val="00294CC3"/>
    <w:rsid w:val="002958D4"/>
    <w:rsid w:val="00297323"/>
    <w:rsid w:val="002979C6"/>
    <w:rsid w:val="002A3276"/>
    <w:rsid w:val="002A7A3E"/>
    <w:rsid w:val="002B4FBA"/>
    <w:rsid w:val="002C0F90"/>
    <w:rsid w:val="002C7B6F"/>
    <w:rsid w:val="002C7B75"/>
    <w:rsid w:val="002D697A"/>
    <w:rsid w:val="002D6A52"/>
    <w:rsid w:val="002E012C"/>
    <w:rsid w:val="002E1505"/>
    <w:rsid w:val="002E640B"/>
    <w:rsid w:val="002F2422"/>
    <w:rsid w:val="002F4DDF"/>
    <w:rsid w:val="002F6113"/>
    <w:rsid w:val="002F65D6"/>
    <w:rsid w:val="002F7409"/>
    <w:rsid w:val="00300345"/>
    <w:rsid w:val="00304A48"/>
    <w:rsid w:val="003072A0"/>
    <w:rsid w:val="00310F22"/>
    <w:rsid w:val="00311116"/>
    <w:rsid w:val="0031149E"/>
    <w:rsid w:val="003122E7"/>
    <w:rsid w:val="003125DD"/>
    <w:rsid w:val="0031459B"/>
    <w:rsid w:val="00315548"/>
    <w:rsid w:val="00323DD5"/>
    <w:rsid w:val="0032512D"/>
    <w:rsid w:val="00331EB0"/>
    <w:rsid w:val="003321DA"/>
    <w:rsid w:val="0033437A"/>
    <w:rsid w:val="003400EA"/>
    <w:rsid w:val="003402F7"/>
    <w:rsid w:val="00340472"/>
    <w:rsid w:val="00342EDB"/>
    <w:rsid w:val="00343B08"/>
    <w:rsid w:val="00347905"/>
    <w:rsid w:val="00352464"/>
    <w:rsid w:val="0035403B"/>
    <w:rsid w:val="00354192"/>
    <w:rsid w:val="00355548"/>
    <w:rsid w:val="00356C68"/>
    <w:rsid w:val="00357ED0"/>
    <w:rsid w:val="00365380"/>
    <w:rsid w:val="00370DEF"/>
    <w:rsid w:val="00373BF0"/>
    <w:rsid w:val="00375B34"/>
    <w:rsid w:val="00375CDF"/>
    <w:rsid w:val="00381A14"/>
    <w:rsid w:val="00384217"/>
    <w:rsid w:val="00385C4E"/>
    <w:rsid w:val="0039082D"/>
    <w:rsid w:val="00391A47"/>
    <w:rsid w:val="00391CE1"/>
    <w:rsid w:val="00393CBC"/>
    <w:rsid w:val="0039405F"/>
    <w:rsid w:val="003A255E"/>
    <w:rsid w:val="003A3931"/>
    <w:rsid w:val="003A4F9A"/>
    <w:rsid w:val="003A6830"/>
    <w:rsid w:val="003A7CB6"/>
    <w:rsid w:val="003B17AE"/>
    <w:rsid w:val="003B29AE"/>
    <w:rsid w:val="003B39DD"/>
    <w:rsid w:val="003B5085"/>
    <w:rsid w:val="003B6231"/>
    <w:rsid w:val="003C2181"/>
    <w:rsid w:val="003C222F"/>
    <w:rsid w:val="003C4C75"/>
    <w:rsid w:val="003C5FED"/>
    <w:rsid w:val="003D3C33"/>
    <w:rsid w:val="003D65ED"/>
    <w:rsid w:val="003D6DC1"/>
    <w:rsid w:val="003E29DB"/>
    <w:rsid w:val="003E4432"/>
    <w:rsid w:val="003E4934"/>
    <w:rsid w:val="003E4FE8"/>
    <w:rsid w:val="003E5D1D"/>
    <w:rsid w:val="003F232C"/>
    <w:rsid w:val="003F43BF"/>
    <w:rsid w:val="003F5D56"/>
    <w:rsid w:val="003F6B36"/>
    <w:rsid w:val="003F73DF"/>
    <w:rsid w:val="003F7CF5"/>
    <w:rsid w:val="00403FB4"/>
    <w:rsid w:val="004127C2"/>
    <w:rsid w:val="004128A3"/>
    <w:rsid w:val="00415F32"/>
    <w:rsid w:val="00416286"/>
    <w:rsid w:val="00416CDE"/>
    <w:rsid w:val="00416DA2"/>
    <w:rsid w:val="0042330F"/>
    <w:rsid w:val="00432189"/>
    <w:rsid w:val="004324AE"/>
    <w:rsid w:val="0043389C"/>
    <w:rsid w:val="00437D8F"/>
    <w:rsid w:val="004450E3"/>
    <w:rsid w:val="00445FDA"/>
    <w:rsid w:val="004510F5"/>
    <w:rsid w:val="00452347"/>
    <w:rsid w:val="00456BDF"/>
    <w:rsid w:val="00467104"/>
    <w:rsid w:val="00472281"/>
    <w:rsid w:val="00474010"/>
    <w:rsid w:val="00476DAC"/>
    <w:rsid w:val="004925E4"/>
    <w:rsid w:val="004962D4"/>
    <w:rsid w:val="00496B53"/>
    <w:rsid w:val="004B0366"/>
    <w:rsid w:val="004B1293"/>
    <w:rsid w:val="004B5A30"/>
    <w:rsid w:val="004B5DC8"/>
    <w:rsid w:val="004B6442"/>
    <w:rsid w:val="004C0660"/>
    <w:rsid w:val="004C36BB"/>
    <w:rsid w:val="004C41DB"/>
    <w:rsid w:val="004C638E"/>
    <w:rsid w:val="004D2EA8"/>
    <w:rsid w:val="004D3AFE"/>
    <w:rsid w:val="004D4B07"/>
    <w:rsid w:val="004E0409"/>
    <w:rsid w:val="004E23B6"/>
    <w:rsid w:val="004F4500"/>
    <w:rsid w:val="004F4DD0"/>
    <w:rsid w:val="004F7859"/>
    <w:rsid w:val="00503526"/>
    <w:rsid w:val="0050522C"/>
    <w:rsid w:val="005075CD"/>
    <w:rsid w:val="00511496"/>
    <w:rsid w:val="00512A1E"/>
    <w:rsid w:val="00521D8B"/>
    <w:rsid w:val="0052277A"/>
    <w:rsid w:val="00523D05"/>
    <w:rsid w:val="00523D9F"/>
    <w:rsid w:val="00524845"/>
    <w:rsid w:val="00525EDE"/>
    <w:rsid w:val="0053354C"/>
    <w:rsid w:val="0053369C"/>
    <w:rsid w:val="005360AB"/>
    <w:rsid w:val="00536C1B"/>
    <w:rsid w:val="00543BF4"/>
    <w:rsid w:val="00545000"/>
    <w:rsid w:val="00546AD6"/>
    <w:rsid w:val="005475E8"/>
    <w:rsid w:val="00547C73"/>
    <w:rsid w:val="005525B0"/>
    <w:rsid w:val="0055331D"/>
    <w:rsid w:val="0055349E"/>
    <w:rsid w:val="00555879"/>
    <w:rsid w:val="005641A8"/>
    <w:rsid w:val="00566358"/>
    <w:rsid w:val="00567B35"/>
    <w:rsid w:val="00567B53"/>
    <w:rsid w:val="00570C25"/>
    <w:rsid w:val="005740D3"/>
    <w:rsid w:val="0057482F"/>
    <w:rsid w:val="0057591B"/>
    <w:rsid w:val="00577EB9"/>
    <w:rsid w:val="00581306"/>
    <w:rsid w:val="00584AEC"/>
    <w:rsid w:val="00585687"/>
    <w:rsid w:val="00587F3C"/>
    <w:rsid w:val="00590AB3"/>
    <w:rsid w:val="005923B5"/>
    <w:rsid w:val="005A0133"/>
    <w:rsid w:val="005A155A"/>
    <w:rsid w:val="005A1BC7"/>
    <w:rsid w:val="005A3B04"/>
    <w:rsid w:val="005A7219"/>
    <w:rsid w:val="005B0CF8"/>
    <w:rsid w:val="005B6A27"/>
    <w:rsid w:val="005C0016"/>
    <w:rsid w:val="005C31A4"/>
    <w:rsid w:val="005C3D39"/>
    <w:rsid w:val="005C3FCB"/>
    <w:rsid w:val="005C7810"/>
    <w:rsid w:val="005D1848"/>
    <w:rsid w:val="005D60AB"/>
    <w:rsid w:val="005D6D42"/>
    <w:rsid w:val="005E5BD9"/>
    <w:rsid w:val="005F0E9E"/>
    <w:rsid w:val="005F1068"/>
    <w:rsid w:val="00602838"/>
    <w:rsid w:val="00611EC9"/>
    <w:rsid w:val="006137CC"/>
    <w:rsid w:val="00620F35"/>
    <w:rsid w:val="00627A4E"/>
    <w:rsid w:val="00637125"/>
    <w:rsid w:val="00641D77"/>
    <w:rsid w:val="00642447"/>
    <w:rsid w:val="00642667"/>
    <w:rsid w:val="00644C50"/>
    <w:rsid w:val="00650A8D"/>
    <w:rsid w:val="00652DA5"/>
    <w:rsid w:val="0065428D"/>
    <w:rsid w:val="00654D1E"/>
    <w:rsid w:val="006562BA"/>
    <w:rsid w:val="0065733D"/>
    <w:rsid w:val="00660250"/>
    <w:rsid w:val="00660E61"/>
    <w:rsid w:val="0066354F"/>
    <w:rsid w:val="00664711"/>
    <w:rsid w:val="00667732"/>
    <w:rsid w:val="0067205F"/>
    <w:rsid w:val="00672EE1"/>
    <w:rsid w:val="00673BB3"/>
    <w:rsid w:val="006810C4"/>
    <w:rsid w:val="00681C75"/>
    <w:rsid w:val="0069006B"/>
    <w:rsid w:val="006B7CF6"/>
    <w:rsid w:val="006C09BE"/>
    <w:rsid w:val="006C5D95"/>
    <w:rsid w:val="006C63F3"/>
    <w:rsid w:val="006D344C"/>
    <w:rsid w:val="006D3774"/>
    <w:rsid w:val="006D3AA9"/>
    <w:rsid w:val="006D60AC"/>
    <w:rsid w:val="006E3597"/>
    <w:rsid w:val="006E4445"/>
    <w:rsid w:val="006E7B4B"/>
    <w:rsid w:val="006F23E0"/>
    <w:rsid w:val="006F5641"/>
    <w:rsid w:val="006F56A2"/>
    <w:rsid w:val="00700163"/>
    <w:rsid w:val="0070292A"/>
    <w:rsid w:val="00707626"/>
    <w:rsid w:val="00710EDE"/>
    <w:rsid w:val="0071150E"/>
    <w:rsid w:val="00711955"/>
    <w:rsid w:val="00717A7E"/>
    <w:rsid w:val="00717C37"/>
    <w:rsid w:val="00720B97"/>
    <w:rsid w:val="00720D00"/>
    <w:rsid w:val="0072330A"/>
    <w:rsid w:val="0072476F"/>
    <w:rsid w:val="007328A7"/>
    <w:rsid w:val="00734232"/>
    <w:rsid w:val="007351DE"/>
    <w:rsid w:val="00735F86"/>
    <w:rsid w:val="0074000C"/>
    <w:rsid w:val="007416A2"/>
    <w:rsid w:val="00745F3E"/>
    <w:rsid w:val="0074701B"/>
    <w:rsid w:val="00753B49"/>
    <w:rsid w:val="00753F07"/>
    <w:rsid w:val="00767584"/>
    <w:rsid w:val="00771ED6"/>
    <w:rsid w:val="00776751"/>
    <w:rsid w:val="00777A7D"/>
    <w:rsid w:val="00781FE4"/>
    <w:rsid w:val="00783E83"/>
    <w:rsid w:val="00786590"/>
    <w:rsid w:val="00786D1A"/>
    <w:rsid w:val="00796817"/>
    <w:rsid w:val="007A1061"/>
    <w:rsid w:val="007A16CA"/>
    <w:rsid w:val="007A2C03"/>
    <w:rsid w:val="007A45FB"/>
    <w:rsid w:val="007A5A96"/>
    <w:rsid w:val="007A6178"/>
    <w:rsid w:val="007A6FFA"/>
    <w:rsid w:val="007A7D30"/>
    <w:rsid w:val="007B1D40"/>
    <w:rsid w:val="007B33B5"/>
    <w:rsid w:val="007B5794"/>
    <w:rsid w:val="007B7717"/>
    <w:rsid w:val="007C0544"/>
    <w:rsid w:val="007C6001"/>
    <w:rsid w:val="007C7D68"/>
    <w:rsid w:val="007D14A0"/>
    <w:rsid w:val="007D2DC7"/>
    <w:rsid w:val="007D3407"/>
    <w:rsid w:val="007D4F58"/>
    <w:rsid w:val="007D7DC4"/>
    <w:rsid w:val="007E26AE"/>
    <w:rsid w:val="007E271A"/>
    <w:rsid w:val="007F0E6B"/>
    <w:rsid w:val="007F151A"/>
    <w:rsid w:val="007F28AA"/>
    <w:rsid w:val="007F768F"/>
    <w:rsid w:val="007F77CE"/>
    <w:rsid w:val="007F7A60"/>
    <w:rsid w:val="00813665"/>
    <w:rsid w:val="00814033"/>
    <w:rsid w:val="0081773B"/>
    <w:rsid w:val="00820C83"/>
    <w:rsid w:val="0082210E"/>
    <w:rsid w:val="00823D16"/>
    <w:rsid w:val="008321C0"/>
    <w:rsid w:val="00833260"/>
    <w:rsid w:val="0083437C"/>
    <w:rsid w:val="00834D78"/>
    <w:rsid w:val="00836327"/>
    <w:rsid w:val="00836C73"/>
    <w:rsid w:val="00841C03"/>
    <w:rsid w:val="00847707"/>
    <w:rsid w:val="00861BB9"/>
    <w:rsid w:val="0087116C"/>
    <w:rsid w:val="008719F4"/>
    <w:rsid w:val="00872B44"/>
    <w:rsid w:val="008731C9"/>
    <w:rsid w:val="00874B07"/>
    <w:rsid w:val="00875DDC"/>
    <w:rsid w:val="008760DC"/>
    <w:rsid w:val="008773E3"/>
    <w:rsid w:val="00877410"/>
    <w:rsid w:val="00880542"/>
    <w:rsid w:val="008828E9"/>
    <w:rsid w:val="0088384F"/>
    <w:rsid w:val="00887454"/>
    <w:rsid w:val="008900BC"/>
    <w:rsid w:val="00891EB1"/>
    <w:rsid w:val="00892A68"/>
    <w:rsid w:val="00895957"/>
    <w:rsid w:val="00897663"/>
    <w:rsid w:val="008A1567"/>
    <w:rsid w:val="008A1C69"/>
    <w:rsid w:val="008A2D85"/>
    <w:rsid w:val="008B31D1"/>
    <w:rsid w:val="008B346D"/>
    <w:rsid w:val="008B5CA2"/>
    <w:rsid w:val="008C3BAB"/>
    <w:rsid w:val="008C44C7"/>
    <w:rsid w:val="008C4DBF"/>
    <w:rsid w:val="008D1EE5"/>
    <w:rsid w:val="008D28D4"/>
    <w:rsid w:val="008D37C2"/>
    <w:rsid w:val="008D6E4A"/>
    <w:rsid w:val="008E0EF6"/>
    <w:rsid w:val="008E1FA0"/>
    <w:rsid w:val="008E1FBC"/>
    <w:rsid w:val="008E3829"/>
    <w:rsid w:val="008F02D6"/>
    <w:rsid w:val="008F153E"/>
    <w:rsid w:val="008F30FA"/>
    <w:rsid w:val="008F6805"/>
    <w:rsid w:val="009001B6"/>
    <w:rsid w:val="0090479E"/>
    <w:rsid w:val="0090764D"/>
    <w:rsid w:val="009149EB"/>
    <w:rsid w:val="00915704"/>
    <w:rsid w:val="00922120"/>
    <w:rsid w:val="00925FA0"/>
    <w:rsid w:val="00926488"/>
    <w:rsid w:val="00933202"/>
    <w:rsid w:val="00934765"/>
    <w:rsid w:val="00936346"/>
    <w:rsid w:val="0093718E"/>
    <w:rsid w:val="00937302"/>
    <w:rsid w:val="00942090"/>
    <w:rsid w:val="0094348E"/>
    <w:rsid w:val="009456D4"/>
    <w:rsid w:val="00945A08"/>
    <w:rsid w:val="00945D73"/>
    <w:rsid w:val="00951E89"/>
    <w:rsid w:val="0095222F"/>
    <w:rsid w:val="00954259"/>
    <w:rsid w:val="009548E9"/>
    <w:rsid w:val="00957FA5"/>
    <w:rsid w:val="00960A08"/>
    <w:rsid w:val="00961B98"/>
    <w:rsid w:val="00962613"/>
    <w:rsid w:val="00962C5E"/>
    <w:rsid w:val="009660EC"/>
    <w:rsid w:val="009662AD"/>
    <w:rsid w:val="00966734"/>
    <w:rsid w:val="00971D5B"/>
    <w:rsid w:val="009726B9"/>
    <w:rsid w:val="00974795"/>
    <w:rsid w:val="00975A93"/>
    <w:rsid w:val="009847A4"/>
    <w:rsid w:val="00984A5B"/>
    <w:rsid w:val="00984DA5"/>
    <w:rsid w:val="00986B94"/>
    <w:rsid w:val="00987450"/>
    <w:rsid w:val="00993356"/>
    <w:rsid w:val="00993EF9"/>
    <w:rsid w:val="00996591"/>
    <w:rsid w:val="009A526C"/>
    <w:rsid w:val="009B0984"/>
    <w:rsid w:val="009B0DBF"/>
    <w:rsid w:val="009B3F5B"/>
    <w:rsid w:val="009B4FAF"/>
    <w:rsid w:val="009C03CF"/>
    <w:rsid w:val="009C1D5E"/>
    <w:rsid w:val="009C5651"/>
    <w:rsid w:val="009C7EEE"/>
    <w:rsid w:val="009D151E"/>
    <w:rsid w:val="009D1CB6"/>
    <w:rsid w:val="009D435A"/>
    <w:rsid w:val="009D5192"/>
    <w:rsid w:val="009D5E6B"/>
    <w:rsid w:val="009E0CBB"/>
    <w:rsid w:val="009E1ACE"/>
    <w:rsid w:val="009E1DD9"/>
    <w:rsid w:val="009E249D"/>
    <w:rsid w:val="009E2746"/>
    <w:rsid w:val="009E36C1"/>
    <w:rsid w:val="009F0AAA"/>
    <w:rsid w:val="009F589F"/>
    <w:rsid w:val="009F7EDD"/>
    <w:rsid w:val="00A01A97"/>
    <w:rsid w:val="00A12E31"/>
    <w:rsid w:val="00A13052"/>
    <w:rsid w:val="00A15C88"/>
    <w:rsid w:val="00A16851"/>
    <w:rsid w:val="00A20149"/>
    <w:rsid w:val="00A30644"/>
    <w:rsid w:val="00A318ED"/>
    <w:rsid w:val="00A330D8"/>
    <w:rsid w:val="00A35E7F"/>
    <w:rsid w:val="00A376B4"/>
    <w:rsid w:val="00A4253E"/>
    <w:rsid w:val="00A44A65"/>
    <w:rsid w:val="00A46661"/>
    <w:rsid w:val="00A475AC"/>
    <w:rsid w:val="00A500C5"/>
    <w:rsid w:val="00A517FC"/>
    <w:rsid w:val="00A53260"/>
    <w:rsid w:val="00A64F64"/>
    <w:rsid w:val="00A65953"/>
    <w:rsid w:val="00A6597F"/>
    <w:rsid w:val="00A675E0"/>
    <w:rsid w:val="00A70AB2"/>
    <w:rsid w:val="00A71075"/>
    <w:rsid w:val="00A740F0"/>
    <w:rsid w:val="00A75E8B"/>
    <w:rsid w:val="00A770E0"/>
    <w:rsid w:val="00A82835"/>
    <w:rsid w:val="00A870D7"/>
    <w:rsid w:val="00A9092A"/>
    <w:rsid w:val="00A9135E"/>
    <w:rsid w:val="00AA0152"/>
    <w:rsid w:val="00AA4662"/>
    <w:rsid w:val="00AA63E4"/>
    <w:rsid w:val="00AA78E9"/>
    <w:rsid w:val="00AB14DF"/>
    <w:rsid w:val="00AB1A3F"/>
    <w:rsid w:val="00AB284C"/>
    <w:rsid w:val="00AB49EF"/>
    <w:rsid w:val="00AB719A"/>
    <w:rsid w:val="00AC04DD"/>
    <w:rsid w:val="00AC359D"/>
    <w:rsid w:val="00AC385D"/>
    <w:rsid w:val="00AC6228"/>
    <w:rsid w:val="00AC648A"/>
    <w:rsid w:val="00AC6E39"/>
    <w:rsid w:val="00AC7276"/>
    <w:rsid w:val="00AD2A7F"/>
    <w:rsid w:val="00AD341A"/>
    <w:rsid w:val="00AD392C"/>
    <w:rsid w:val="00AD59B2"/>
    <w:rsid w:val="00AD6518"/>
    <w:rsid w:val="00AE1044"/>
    <w:rsid w:val="00AE7EA1"/>
    <w:rsid w:val="00AF1635"/>
    <w:rsid w:val="00AF7F47"/>
    <w:rsid w:val="00B01435"/>
    <w:rsid w:val="00B054D8"/>
    <w:rsid w:val="00B0599E"/>
    <w:rsid w:val="00B06790"/>
    <w:rsid w:val="00B101C6"/>
    <w:rsid w:val="00B1099B"/>
    <w:rsid w:val="00B14237"/>
    <w:rsid w:val="00B15250"/>
    <w:rsid w:val="00B16A86"/>
    <w:rsid w:val="00B20882"/>
    <w:rsid w:val="00B23E20"/>
    <w:rsid w:val="00B30420"/>
    <w:rsid w:val="00B31C0A"/>
    <w:rsid w:val="00B32468"/>
    <w:rsid w:val="00B34094"/>
    <w:rsid w:val="00B352E8"/>
    <w:rsid w:val="00B353B6"/>
    <w:rsid w:val="00B3544D"/>
    <w:rsid w:val="00B35A15"/>
    <w:rsid w:val="00B37474"/>
    <w:rsid w:val="00B415F0"/>
    <w:rsid w:val="00B437D0"/>
    <w:rsid w:val="00B44201"/>
    <w:rsid w:val="00B450C5"/>
    <w:rsid w:val="00B53368"/>
    <w:rsid w:val="00B54C5D"/>
    <w:rsid w:val="00B56701"/>
    <w:rsid w:val="00B56ED7"/>
    <w:rsid w:val="00B65A4C"/>
    <w:rsid w:val="00B66757"/>
    <w:rsid w:val="00B70629"/>
    <w:rsid w:val="00B7771B"/>
    <w:rsid w:val="00B85197"/>
    <w:rsid w:val="00B852B2"/>
    <w:rsid w:val="00B9017C"/>
    <w:rsid w:val="00B9168E"/>
    <w:rsid w:val="00B9358F"/>
    <w:rsid w:val="00B9666A"/>
    <w:rsid w:val="00B97486"/>
    <w:rsid w:val="00BA3ABB"/>
    <w:rsid w:val="00BB09AC"/>
    <w:rsid w:val="00BB563F"/>
    <w:rsid w:val="00BB5867"/>
    <w:rsid w:val="00BB7473"/>
    <w:rsid w:val="00BC4B5F"/>
    <w:rsid w:val="00BC5843"/>
    <w:rsid w:val="00BC5D28"/>
    <w:rsid w:val="00BC60EB"/>
    <w:rsid w:val="00BD4007"/>
    <w:rsid w:val="00BD733B"/>
    <w:rsid w:val="00BD790C"/>
    <w:rsid w:val="00BE023C"/>
    <w:rsid w:val="00BE1DDC"/>
    <w:rsid w:val="00BE622F"/>
    <w:rsid w:val="00BE6784"/>
    <w:rsid w:val="00BE7C7F"/>
    <w:rsid w:val="00BF0AEC"/>
    <w:rsid w:val="00BF30CB"/>
    <w:rsid w:val="00BF4EB6"/>
    <w:rsid w:val="00BF5109"/>
    <w:rsid w:val="00BF5BA6"/>
    <w:rsid w:val="00BF7F71"/>
    <w:rsid w:val="00C02ABF"/>
    <w:rsid w:val="00C10F17"/>
    <w:rsid w:val="00C16E1A"/>
    <w:rsid w:val="00C20B86"/>
    <w:rsid w:val="00C23DFC"/>
    <w:rsid w:val="00C23FA1"/>
    <w:rsid w:val="00C24D3F"/>
    <w:rsid w:val="00C30168"/>
    <w:rsid w:val="00C34845"/>
    <w:rsid w:val="00C356A4"/>
    <w:rsid w:val="00C40A5A"/>
    <w:rsid w:val="00C41B68"/>
    <w:rsid w:val="00C45461"/>
    <w:rsid w:val="00C4575D"/>
    <w:rsid w:val="00C46627"/>
    <w:rsid w:val="00C47416"/>
    <w:rsid w:val="00C47F1F"/>
    <w:rsid w:val="00C5174B"/>
    <w:rsid w:val="00C52CD4"/>
    <w:rsid w:val="00C52DF4"/>
    <w:rsid w:val="00C54015"/>
    <w:rsid w:val="00C54296"/>
    <w:rsid w:val="00C55414"/>
    <w:rsid w:val="00C56114"/>
    <w:rsid w:val="00C56133"/>
    <w:rsid w:val="00C56DE4"/>
    <w:rsid w:val="00C629AA"/>
    <w:rsid w:val="00C63403"/>
    <w:rsid w:val="00C63436"/>
    <w:rsid w:val="00C65C0F"/>
    <w:rsid w:val="00C67541"/>
    <w:rsid w:val="00C7017E"/>
    <w:rsid w:val="00C73541"/>
    <w:rsid w:val="00C74D4F"/>
    <w:rsid w:val="00C7508D"/>
    <w:rsid w:val="00C756F5"/>
    <w:rsid w:val="00C76282"/>
    <w:rsid w:val="00C834B2"/>
    <w:rsid w:val="00C85B82"/>
    <w:rsid w:val="00C90A56"/>
    <w:rsid w:val="00C9121D"/>
    <w:rsid w:val="00C93FAA"/>
    <w:rsid w:val="00CA1CF9"/>
    <w:rsid w:val="00CA2085"/>
    <w:rsid w:val="00CA20D1"/>
    <w:rsid w:val="00CA324C"/>
    <w:rsid w:val="00CA5F4F"/>
    <w:rsid w:val="00CA6319"/>
    <w:rsid w:val="00CA6CB6"/>
    <w:rsid w:val="00CB0DA9"/>
    <w:rsid w:val="00CB1191"/>
    <w:rsid w:val="00CB12AB"/>
    <w:rsid w:val="00CB1E09"/>
    <w:rsid w:val="00CB3539"/>
    <w:rsid w:val="00CB3C6F"/>
    <w:rsid w:val="00CB5A67"/>
    <w:rsid w:val="00CC0251"/>
    <w:rsid w:val="00CC1BC5"/>
    <w:rsid w:val="00CC22ED"/>
    <w:rsid w:val="00CC23FE"/>
    <w:rsid w:val="00CC5504"/>
    <w:rsid w:val="00CC5FAA"/>
    <w:rsid w:val="00CC74FD"/>
    <w:rsid w:val="00CC76BD"/>
    <w:rsid w:val="00CD049A"/>
    <w:rsid w:val="00CD2003"/>
    <w:rsid w:val="00CD301E"/>
    <w:rsid w:val="00CD37BD"/>
    <w:rsid w:val="00CD3DFE"/>
    <w:rsid w:val="00CE33AA"/>
    <w:rsid w:val="00CE34C4"/>
    <w:rsid w:val="00CE3D84"/>
    <w:rsid w:val="00CE4540"/>
    <w:rsid w:val="00CE4AC7"/>
    <w:rsid w:val="00CE6EDE"/>
    <w:rsid w:val="00CF4519"/>
    <w:rsid w:val="00CF60B6"/>
    <w:rsid w:val="00CF6DD3"/>
    <w:rsid w:val="00D008CC"/>
    <w:rsid w:val="00D017DE"/>
    <w:rsid w:val="00D04870"/>
    <w:rsid w:val="00D049C2"/>
    <w:rsid w:val="00D05FC8"/>
    <w:rsid w:val="00D11C07"/>
    <w:rsid w:val="00D12E71"/>
    <w:rsid w:val="00D17E09"/>
    <w:rsid w:val="00D25DD5"/>
    <w:rsid w:val="00D36F23"/>
    <w:rsid w:val="00D47C3F"/>
    <w:rsid w:val="00D527FB"/>
    <w:rsid w:val="00D61481"/>
    <w:rsid w:val="00D64A9A"/>
    <w:rsid w:val="00D67C97"/>
    <w:rsid w:val="00D707C2"/>
    <w:rsid w:val="00D71626"/>
    <w:rsid w:val="00D71637"/>
    <w:rsid w:val="00D82DF2"/>
    <w:rsid w:val="00D82F8E"/>
    <w:rsid w:val="00D84449"/>
    <w:rsid w:val="00D85A2B"/>
    <w:rsid w:val="00D91180"/>
    <w:rsid w:val="00D92304"/>
    <w:rsid w:val="00D94F3A"/>
    <w:rsid w:val="00D950E4"/>
    <w:rsid w:val="00D95E82"/>
    <w:rsid w:val="00DA1A43"/>
    <w:rsid w:val="00DA2F9C"/>
    <w:rsid w:val="00DA5C42"/>
    <w:rsid w:val="00DB4BD3"/>
    <w:rsid w:val="00DB4D97"/>
    <w:rsid w:val="00DB5FB7"/>
    <w:rsid w:val="00DB76C6"/>
    <w:rsid w:val="00DC07E9"/>
    <w:rsid w:val="00DC1D76"/>
    <w:rsid w:val="00DD1A09"/>
    <w:rsid w:val="00DD2583"/>
    <w:rsid w:val="00DD65E5"/>
    <w:rsid w:val="00DE27A3"/>
    <w:rsid w:val="00DE3EA6"/>
    <w:rsid w:val="00DE40A7"/>
    <w:rsid w:val="00DF145A"/>
    <w:rsid w:val="00DF34D0"/>
    <w:rsid w:val="00DF62FA"/>
    <w:rsid w:val="00E00700"/>
    <w:rsid w:val="00E01485"/>
    <w:rsid w:val="00E042EA"/>
    <w:rsid w:val="00E067E2"/>
    <w:rsid w:val="00E076E1"/>
    <w:rsid w:val="00E1472B"/>
    <w:rsid w:val="00E16317"/>
    <w:rsid w:val="00E2132C"/>
    <w:rsid w:val="00E373F8"/>
    <w:rsid w:val="00E40233"/>
    <w:rsid w:val="00E448E1"/>
    <w:rsid w:val="00E45A90"/>
    <w:rsid w:val="00E5463E"/>
    <w:rsid w:val="00E571E3"/>
    <w:rsid w:val="00E60C28"/>
    <w:rsid w:val="00E61267"/>
    <w:rsid w:val="00E621FD"/>
    <w:rsid w:val="00E637E4"/>
    <w:rsid w:val="00E70661"/>
    <w:rsid w:val="00E7352D"/>
    <w:rsid w:val="00E737E5"/>
    <w:rsid w:val="00E75B5F"/>
    <w:rsid w:val="00E77E3B"/>
    <w:rsid w:val="00E80805"/>
    <w:rsid w:val="00E80D31"/>
    <w:rsid w:val="00E81115"/>
    <w:rsid w:val="00E81545"/>
    <w:rsid w:val="00E84A31"/>
    <w:rsid w:val="00E92EF3"/>
    <w:rsid w:val="00E93C00"/>
    <w:rsid w:val="00EA0ED4"/>
    <w:rsid w:val="00EA139B"/>
    <w:rsid w:val="00EA2CEA"/>
    <w:rsid w:val="00EA2F62"/>
    <w:rsid w:val="00EA423D"/>
    <w:rsid w:val="00EA5158"/>
    <w:rsid w:val="00EA5A64"/>
    <w:rsid w:val="00EA75F6"/>
    <w:rsid w:val="00EB2676"/>
    <w:rsid w:val="00EB368A"/>
    <w:rsid w:val="00EB47DE"/>
    <w:rsid w:val="00EB4ED8"/>
    <w:rsid w:val="00EB6940"/>
    <w:rsid w:val="00EC1B91"/>
    <w:rsid w:val="00EC2676"/>
    <w:rsid w:val="00EC7238"/>
    <w:rsid w:val="00EC772D"/>
    <w:rsid w:val="00ED0F18"/>
    <w:rsid w:val="00ED3EA5"/>
    <w:rsid w:val="00ED43FB"/>
    <w:rsid w:val="00ED493F"/>
    <w:rsid w:val="00ED4FF8"/>
    <w:rsid w:val="00EE069E"/>
    <w:rsid w:val="00EE1456"/>
    <w:rsid w:val="00EE1F0C"/>
    <w:rsid w:val="00EE5DE2"/>
    <w:rsid w:val="00EE7A4C"/>
    <w:rsid w:val="00EF0E97"/>
    <w:rsid w:val="00EF27B7"/>
    <w:rsid w:val="00EF2805"/>
    <w:rsid w:val="00EF3241"/>
    <w:rsid w:val="00EF35D0"/>
    <w:rsid w:val="00EF3C64"/>
    <w:rsid w:val="00F01049"/>
    <w:rsid w:val="00F037E4"/>
    <w:rsid w:val="00F03AAA"/>
    <w:rsid w:val="00F04264"/>
    <w:rsid w:val="00F07B4B"/>
    <w:rsid w:val="00F13D08"/>
    <w:rsid w:val="00F150AF"/>
    <w:rsid w:val="00F15904"/>
    <w:rsid w:val="00F164C0"/>
    <w:rsid w:val="00F24831"/>
    <w:rsid w:val="00F270D1"/>
    <w:rsid w:val="00F2712F"/>
    <w:rsid w:val="00F322E9"/>
    <w:rsid w:val="00F426F7"/>
    <w:rsid w:val="00F43539"/>
    <w:rsid w:val="00F4765A"/>
    <w:rsid w:val="00F47BA0"/>
    <w:rsid w:val="00F50EAA"/>
    <w:rsid w:val="00F52F26"/>
    <w:rsid w:val="00F54D00"/>
    <w:rsid w:val="00F55ED0"/>
    <w:rsid w:val="00F64376"/>
    <w:rsid w:val="00F649A3"/>
    <w:rsid w:val="00F70114"/>
    <w:rsid w:val="00F71CC4"/>
    <w:rsid w:val="00F724CB"/>
    <w:rsid w:val="00F74867"/>
    <w:rsid w:val="00F74A92"/>
    <w:rsid w:val="00F80864"/>
    <w:rsid w:val="00F833D5"/>
    <w:rsid w:val="00F84FFD"/>
    <w:rsid w:val="00F860E9"/>
    <w:rsid w:val="00F867D4"/>
    <w:rsid w:val="00F97BDF"/>
    <w:rsid w:val="00FA08F5"/>
    <w:rsid w:val="00FA1BEF"/>
    <w:rsid w:val="00FA2E44"/>
    <w:rsid w:val="00FB0F79"/>
    <w:rsid w:val="00FB2AC5"/>
    <w:rsid w:val="00FB4CB6"/>
    <w:rsid w:val="00FB6A45"/>
    <w:rsid w:val="00FC045B"/>
    <w:rsid w:val="00FC0791"/>
    <w:rsid w:val="00FC1E99"/>
    <w:rsid w:val="00FC6C4C"/>
    <w:rsid w:val="00FC6F24"/>
    <w:rsid w:val="00FD3AED"/>
    <w:rsid w:val="00FD3F6D"/>
    <w:rsid w:val="00FD4204"/>
    <w:rsid w:val="00FD5659"/>
    <w:rsid w:val="00FE1D3E"/>
    <w:rsid w:val="00FE7FFA"/>
    <w:rsid w:val="00FF172F"/>
    <w:rsid w:val="00FF2936"/>
    <w:rsid w:val="00FF3156"/>
    <w:rsid w:val="00FF3623"/>
    <w:rsid w:val="00FF7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4544"/>
  <w15:docId w15:val="{70FACDD7-32B6-4D64-9F00-0E337BB42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lang w:val="en-IE" w:eastAsia="en-GB"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heading 2"/>
    <w:qFormat/>
    <w:rsid w:val="003072A0"/>
    <w:rPr>
      <w:szCs w:val="18"/>
    </w:rPr>
  </w:style>
  <w:style w:type="paragraph" w:styleId="Heading1">
    <w:name w:val="heading 1"/>
    <w:basedOn w:val="Normal"/>
    <w:next w:val="Normal"/>
    <w:link w:val="Heading1Char"/>
    <w:uiPriority w:val="9"/>
    <w:qFormat/>
    <w:rsid w:val="001358FB"/>
    <w:pPr>
      <w:keepNext/>
      <w:keepLines/>
      <w:numPr>
        <w:numId w:val="31"/>
      </w:numPr>
      <w:spacing w:line="360" w:lineRule="auto"/>
      <w:outlineLvl w:val="0"/>
    </w:pPr>
    <w:rPr>
      <w:rFonts w:eastAsia="MS Gothic" w:cstheme="majorBidi"/>
      <w:b/>
      <w:color w:val="215868"/>
      <w:sz w:val="32"/>
      <w:szCs w:val="32"/>
    </w:rPr>
  </w:style>
  <w:style w:type="paragraph" w:styleId="Heading2">
    <w:name w:val="heading 2"/>
    <w:basedOn w:val="Normal"/>
    <w:next w:val="Normal"/>
    <w:link w:val="Heading2Char"/>
    <w:uiPriority w:val="9"/>
    <w:unhideWhenUsed/>
    <w:qFormat/>
    <w:rsid w:val="001358FB"/>
    <w:pPr>
      <w:keepNext/>
      <w:keepLines/>
      <w:numPr>
        <w:ilvl w:val="1"/>
        <w:numId w:val="31"/>
      </w:numPr>
      <w:spacing w:after="0" w:line="360" w:lineRule="auto"/>
      <w:ind w:left="576"/>
      <w:outlineLvl w:val="1"/>
    </w:pPr>
    <w:rPr>
      <w:rFonts w:eastAsia="MS Gothic" w:cstheme="majorBidi"/>
      <w:b/>
      <w:color w:val="31849B"/>
      <w:sz w:val="24"/>
      <w:szCs w:val="24"/>
    </w:rPr>
  </w:style>
  <w:style w:type="paragraph" w:styleId="Heading3">
    <w:name w:val="heading 3"/>
    <w:basedOn w:val="Heading1"/>
    <w:next w:val="Normal"/>
    <w:link w:val="Heading3Char"/>
    <w:uiPriority w:val="9"/>
    <w:unhideWhenUsed/>
    <w:qFormat/>
    <w:rsid w:val="004F7859"/>
    <w:pPr>
      <w:numPr>
        <w:numId w:val="0"/>
      </w:numPr>
      <w:outlineLvl w:val="2"/>
    </w:pPr>
    <w:rPr>
      <w:b w:val="0"/>
      <w:bCs/>
      <w:color w:val="009193"/>
      <w:sz w:val="20"/>
      <w:szCs w:val="20"/>
    </w:rPr>
  </w:style>
  <w:style w:type="paragraph" w:styleId="Heading4">
    <w:name w:val="heading 4"/>
    <w:basedOn w:val="Normal"/>
    <w:next w:val="Normal"/>
    <w:link w:val="Heading4Char"/>
    <w:uiPriority w:val="9"/>
    <w:semiHidden/>
    <w:unhideWhenUsed/>
    <w:qFormat/>
    <w:rsid w:val="00F26235"/>
    <w:pPr>
      <w:keepNext/>
      <w:keepLines/>
      <w:numPr>
        <w:ilvl w:val="3"/>
        <w:numId w:val="31"/>
      </w:numPr>
      <w:spacing w:before="200" w:after="0"/>
      <w:outlineLvl w:val="3"/>
    </w:pPr>
    <w:rPr>
      <w:rFonts w:ascii="Cambria" w:eastAsia="MS Gothic" w:hAnsi="Cambria"/>
      <w:b/>
      <w:bCs/>
      <w:i/>
      <w:iCs/>
      <w:color w:val="31849B"/>
      <w:sz w:val="24"/>
      <w:szCs w:val="24"/>
    </w:rPr>
  </w:style>
  <w:style w:type="paragraph" w:styleId="Heading5">
    <w:name w:val="heading 5"/>
    <w:basedOn w:val="Normal"/>
    <w:next w:val="Normal"/>
    <w:link w:val="Heading5Char"/>
    <w:uiPriority w:val="9"/>
    <w:semiHidden/>
    <w:unhideWhenUsed/>
    <w:qFormat/>
    <w:rsid w:val="009D00A7"/>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F26235"/>
    <w:pPr>
      <w:keepNext/>
      <w:keepLines/>
      <w:numPr>
        <w:ilvl w:val="5"/>
        <w:numId w:val="31"/>
      </w:numPr>
      <w:spacing w:before="200" w:after="0"/>
      <w:outlineLvl w:val="5"/>
    </w:pPr>
    <w:rPr>
      <w:rFonts w:ascii="Cambria" w:eastAsia="MS Gothic" w:hAnsi="Cambria" w:cstheme="majorBidi"/>
      <w:i/>
      <w:iCs/>
      <w:color w:val="243F60"/>
      <w:sz w:val="24"/>
      <w:szCs w:val="24"/>
    </w:rPr>
  </w:style>
  <w:style w:type="paragraph" w:styleId="Heading7">
    <w:name w:val="heading 7"/>
    <w:basedOn w:val="Normal"/>
    <w:next w:val="Normal"/>
    <w:link w:val="Heading7Char"/>
    <w:uiPriority w:val="9"/>
    <w:qFormat/>
    <w:rsid w:val="00F26235"/>
    <w:pPr>
      <w:keepNext/>
      <w:keepLines/>
      <w:numPr>
        <w:ilvl w:val="6"/>
        <w:numId w:val="31"/>
      </w:numPr>
      <w:spacing w:before="200" w:after="0"/>
      <w:outlineLvl w:val="6"/>
    </w:pPr>
    <w:rPr>
      <w:rFonts w:ascii="Cambria" w:eastAsia="MS Gothic" w:hAnsi="Cambria" w:cstheme="majorBidi"/>
      <w:i/>
      <w:iCs/>
      <w:color w:val="404040"/>
      <w:sz w:val="24"/>
      <w:szCs w:val="24"/>
    </w:rPr>
  </w:style>
  <w:style w:type="paragraph" w:styleId="Heading8">
    <w:name w:val="heading 8"/>
    <w:basedOn w:val="Normal"/>
    <w:next w:val="Normal"/>
    <w:link w:val="Heading8Char"/>
    <w:uiPriority w:val="9"/>
    <w:qFormat/>
    <w:rsid w:val="00F26235"/>
    <w:pPr>
      <w:keepNext/>
      <w:keepLines/>
      <w:numPr>
        <w:ilvl w:val="7"/>
        <w:numId w:val="31"/>
      </w:numPr>
      <w:spacing w:before="200" w:after="0"/>
      <w:outlineLvl w:val="7"/>
    </w:pPr>
    <w:rPr>
      <w:rFonts w:ascii="Cambria" w:eastAsia="MS Gothic" w:hAnsi="Cambria" w:cstheme="majorBidi"/>
      <w:color w:val="404040"/>
      <w:sz w:val="24"/>
      <w:szCs w:val="24"/>
    </w:rPr>
  </w:style>
  <w:style w:type="paragraph" w:styleId="Heading9">
    <w:name w:val="heading 9"/>
    <w:basedOn w:val="Normal"/>
    <w:next w:val="Normal"/>
    <w:link w:val="Heading9Char"/>
    <w:uiPriority w:val="9"/>
    <w:qFormat/>
    <w:rsid w:val="00F26235"/>
    <w:pPr>
      <w:keepNext/>
      <w:keepLines/>
      <w:numPr>
        <w:ilvl w:val="8"/>
        <w:numId w:val="31"/>
      </w:numPr>
      <w:spacing w:before="200" w:after="0"/>
      <w:outlineLvl w:val="8"/>
    </w:pPr>
    <w:rPr>
      <w:rFonts w:ascii="Cambria" w:eastAsia="MS Gothic" w:hAnsi="Cambria" w:cstheme="majorBidi"/>
      <w:i/>
      <w:iCs/>
      <w:color w:val="40404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6235"/>
    <w:pPr>
      <w:spacing w:line="276" w:lineRule="auto"/>
      <w:jc w:val="center"/>
    </w:pPr>
    <w:rPr>
      <w:color w:val="009193"/>
      <w:sz w:val="80"/>
      <w:szCs w:val="80"/>
      <w:lang w:val="en-GB"/>
    </w:rPr>
  </w:style>
  <w:style w:type="paragraph" w:customStyle="1" w:styleId="QM">
    <w:name w:val="QM"/>
    <w:basedOn w:val="Normal"/>
    <w:rsid w:val="009D00A7"/>
    <w:rPr>
      <w:sz w:val="18"/>
    </w:rPr>
  </w:style>
  <w:style w:type="character" w:customStyle="1" w:styleId="Heading1Char">
    <w:name w:val="Heading 1 Char"/>
    <w:link w:val="Heading1"/>
    <w:uiPriority w:val="9"/>
    <w:rsid w:val="001358FB"/>
    <w:rPr>
      <w:rFonts w:eastAsia="MS Gothic" w:cstheme="majorBidi"/>
      <w:b/>
      <w:color w:val="215868"/>
      <w:sz w:val="32"/>
      <w:szCs w:val="32"/>
    </w:rPr>
  </w:style>
  <w:style w:type="character" w:customStyle="1" w:styleId="Heading2Char">
    <w:name w:val="Heading 2 Char"/>
    <w:link w:val="Heading2"/>
    <w:uiPriority w:val="9"/>
    <w:rsid w:val="001358FB"/>
    <w:rPr>
      <w:rFonts w:eastAsia="MS Gothic" w:cstheme="majorBidi"/>
      <w:b/>
      <w:color w:val="31849B"/>
      <w:sz w:val="24"/>
      <w:szCs w:val="24"/>
    </w:rPr>
  </w:style>
  <w:style w:type="character" w:customStyle="1" w:styleId="Heading3Char">
    <w:name w:val="Heading 3 Char"/>
    <w:link w:val="Heading3"/>
    <w:uiPriority w:val="9"/>
    <w:rsid w:val="004F7859"/>
    <w:rPr>
      <w:rFonts w:eastAsia="MS Gothic" w:cstheme="majorBidi"/>
      <w:bCs/>
      <w:color w:val="009193"/>
    </w:rPr>
  </w:style>
  <w:style w:type="character" w:customStyle="1" w:styleId="Heading5Char">
    <w:name w:val="Heading 5 Char"/>
    <w:basedOn w:val="DefaultParagraphFont"/>
    <w:link w:val="Heading5"/>
    <w:uiPriority w:val="9"/>
    <w:semiHidden/>
    <w:rsid w:val="009D00A7"/>
    <w:rPr>
      <w:rFonts w:asciiTheme="majorHAnsi" w:eastAsiaTheme="majorEastAsia" w:hAnsiTheme="majorHAnsi" w:cstheme="majorBidi"/>
      <w:color w:val="365F91" w:themeColor="accent1" w:themeShade="BF"/>
    </w:rPr>
  </w:style>
  <w:style w:type="character" w:customStyle="1" w:styleId="Heading6Char">
    <w:name w:val="Heading 6 Char"/>
    <w:link w:val="Heading6"/>
    <w:uiPriority w:val="9"/>
    <w:rsid w:val="00F26235"/>
    <w:rPr>
      <w:rFonts w:eastAsia="MS Gothic" w:cstheme="majorBidi"/>
      <w:i/>
      <w:iCs/>
      <w:color w:val="243F60"/>
    </w:rPr>
  </w:style>
  <w:style w:type="character" w:customStyle="1" w:styleId="Heading7Char">
    <w:name w:val="Heading 7 Char"/>
    <w:link w:val="Heading7"/>
    <w:uiPriority w:val="9"/>
    <w:rsid w:val="00F26235"/>
    <w:rPr>
      <w:rFonts w:eastAsia="MS Gothic" w:cstheme="majorBidi"/>
      <w:i/>
      <w:iCs/>
      <w:color w:val="404040"/>
    </w:rPr>
  </w:style>
  <w:style w:type="character" w:customStyle="1" w:styleId="Heading8Char">
    <w:name w:val="Heading 8 Char"/>
    <w:link w:val="Heading8"/>
    <w:uiPriority w:val="9"/>
    <w:rsid w:val="00F26235"/>
    <w:rPr>
      <w:rFonts w:eastAsia="MS Gothic" w:cstheme="majorBidi"/>
      <w:color w:val="404040"/>
    </w:rPr>
  </w:style>
  <w:style w:type="character" w:customStyle="1" w:styleId="Heading9Char">
    <w:name w:val="Heading 9 Char"/>
    <w:link w:val="Heading9"/>
    <w:uiPriority w:val="9"/>
    <w:rsid w:val="00F26235"/>
    <w:rPr>
      <w:rFonts w:eastAsia="MS Gothic" w:cstheme="majorBidi"/>
      <w:i/>
      <w:iCs/>
      <w:color w:val="404040"/>
    </w:rPr>
  </w:style>
  <w:style w:type="paragraph" w:styleId="Caption">
    <w:name w:val="caption"/>
    <w:basedOn w:val="Normal"/>
    <w:next w:val="Normal"/>
    <w:uiPriority w:val="35"/>
    <w:qFormat/>
    <w:rsid w:val="00F26235"/>
    <w:pPr>
      <w:keepNext/>
    </w:pPr>
    <w:rPr>
      <w:bCs/>
      <w:color w:val="215868"/>
      <w:szCs w:val="20"/>
    </w:rPr>
  </w:style>
  <w:style w:type="paragraph" w:styleId="NoSpacing">
    <w:name w:val="No Spacing"/>
    <w:link w:val="NoSpacingChar"/>
    <w:uiPriority w:val="1"/>
    <w:qFormat/>
    <w:rsid w:val="00F26235"/>
    <w:rPr>
      <w:lang w:eastAsia="ja-JP"/>
    </w:rPr>
  </w:style>
  <w:style w:type="paragraph" w:styleId="ListParagraph">
    <w:name w:val="List Paragraph"/>
    <w:basedOn w:val="Normal"/>
    <w:uiPriority w:val="34"/>
    <w:qFormat/>
    <w:rsid w:val="00F26235"/>
    <w:pPr>
      <w:ind w:left="720"/>
      <w:contextualSpacing/>
    </w:pPr>
    <w:rPr>
      <w:sz w:val="22"/>
    </w:rPr>
  </w:style>
  <w:style w:type="paragraph" w:styleId="Quote">
    <w:name w:val="Quote"/>
    <w:basedOn w:val="Normal"/>
    <w:next w:val="Normal"/>
    <w:link w:val="QuoteChar"/>
    <w:uiPriority w:val="29"/>
    <w:qFormat/>
    <w:rsid w:val="00F2623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26235"/>
    <w:rPr>
      <w:rFonts w:ascii="Century Gothic" w:hAnsi="Century Gothic"/>
      <w:i/>
      <w:iCs/>
      <w:color w:val="404040" w:themeColor="text1" w:themeTint="BF"/>
      <w:sz w:val="20"/>
      <w:szCs w:val="18"/>
    </w:rPr>
  </w:style>
  <w:style w:type="paragraph" w:styleId="IntenseQuote">
    <w:name w:val="Intense Quote"/>
    <w:basedOn w:val="Normal"/>
    <w:next w:val="Normal"/>
    <w:link w:val="IntenseQuoteChar"/>
    <w:uiPriority w:val="30"/>
    <w:qFormat/>
    <w:rsid w:val="00F2623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26235"/>
    <w:rPr>
      <w:rFonts w:ascii="Century Gothic" w:hAnsi="Century Gothic"/>
      <w:i/>
      <w:iCs/>
      <w:color w:val="4F81BD" w:themeColor="accent1"/>
      <w:sz w:val="20"/>
      <w:szCs w:val="18"/>
    </w:rPr>
  </w:style>
  <w:style w:type="character" w:styleId="SubtleReference">
    <w:name w:val="Subtle Reference"/>
    <w:uiPriority w:val="31"/>
    <w:qFormat/>
    <w:rsid w:val="00F26235"/>
    <w:rPr>
      <w:smallCaps/>
      <w:color w:val="C0504D"/>
      <w:u w:val="single"/>
    </w:rPr>
  </w:style>
  <w:style w:type="character" w:styleId="IntenseReference">
    <w:name w:val="Intense Reference"/>
    <w:uiPriority w:val="32"/>
    <w:qFormat/>
    <w:rsid w:val="00F26235"/>
    <w:rPr>
      <w:b/>
      <w:bCs/>
      <w:smallCaps/>
      <w:color w:val="C0504D"/>
      <w:spacing w:val="5"/>
      <w:u w:val="single"/>
    </w:rPr>
  </w:style>
  <w:style w:type="character" w:styleId="BookTitle">
    <w:name w:val="Book Title"/>
    <w:uiPriority w:val="33"/>
    <w:qFormat/>
    <w:rsid w:val="00F26235"/>
    <w:rPr>
      <w:b/>
      <w:bCs/>
      <w:smallCaps/>
      <w:spacing w:val="5"/>
    </w:rPr>
  </w:style>
  <w:style w:type="paragraph" w:styleId="TOCHeading">
    <w:name w:val="TOC Heading"/>
    <w:basedOn w:val="Heading1"/>
    <w:next w:val="Normal"/>
    <w:uiPriority w:val="39"/>
    <w:semiHidden/>
    <w:unhideWhenUsed/>
    <w:qFormat/>
    <w:rsid w:val="00F26235"/>
    <w:pPr>
      <w:numPr>
        <w:numId w:val="0"/>
      </w:numPr>
      <w:spacing w:before="480" w:after="0"/>
      <w:outlineLvl w:val="9"/>
    </w:pPr>
    <w:rPr>
      <w:rFonts w:ascii="Cambria" w:hAnsi="Cambria"/>
      <w:color w:val="365F91"/>
      <w:sz w:val="28"/>
    </w:rPr>
  </w:style>
  <w:style w:type="paragraph" w:customStyle="1" w:styleId="Quotey">
    <w:name w:val="Quotey"/>
    <w:basedOn w:val="Normal"/>
    <w:next w:val="Normal"/>
    <w:link w:val="QuoteyChar"/>
    <w:uiPriority w:val="9"/>
    <w:qFormat/>
    <w:locked/>
    <w:rsid w:val="00F26235"/>
    <w:pPr>
      <w:keepNext/>
      <w:keepLines/>
      <w:spacing w:before="200" w:after="0"/>
      <w:outlineLvl w:val="4"/>
    </w:pPr>
    <w:rPr>
      <w:rFonts w:eastAsia="MS Gothic" w:cstheme="minorBidi"/>
      <w:i/>
      <w:sz w:val="24"/>
      <w:szCs w:val="22"/>
    </w:rPr>
  </w:style>
  <w:style w:type="character" w:customStyle="1" w:styleId="QuoteyChar">
    <w:name w:val="Quotey Char"/>
    <w:link w:val="Quotey"/>
    <w:uiPriority w:val="9"/>
    <w:rsid w:val="00F26235"/>
    <w:rPr>
      <w:rFonts w:ascii="Century Gothic" w:eastAsia="MS Gothic" w:hAnsi="Century Gothic" w:cstheme="minorBidi"/>
      <w:i/>
      <w:szCs w:val="22"/>
    </w:rPr>
  </w:style>
  <w:style w:type="paragraph" w:customStyle="1" w:styleId="QualityMatters">
    <w:name w:val="Quality Matters"/>
    <w:basedOn w:val="Normal"/>
    <w:qFormat/>
    <w:rsid w:val="001358FB"/>
    <w:pPr>
      <w:spacing w:line="360" w:lineRule="auto"/>
    </w:pPr>
    <w:rPr>
      <w:sz w:val="18"/>
    </w:rPr>
  </w:style>
  <w:style w:type="paragraph" w:customStyle="1" w:styleId="NoteLevel2">
    <w:name w:val="Note Level 2"/>
    <w:basedOn w:val="Normal"/>
    <w:uiPriority w:val="1"/>
    <w:qFormat/>
    <w:rsid w:val="00F26235"/>
    <w:pPr>
      <w:keepNext/>
      <w:tabs>
        <w:tab w:val="num" w:pos="1440"/>
      </w:tabs>
      <w:spacing w:after="0"/>
      <w:ind w:left="1440" w:hanging="720"/>
      <w:contextualSpacing/>
      <w:outlineLvl w:val="1"/>
    </w:pPr>
    <w:rPr>
      <w:rFonts w:ascii="Verdana" w:hAnsi="Verdana"/>
    </w:rPr>
  </w:style>
  <w:style w:type="character" w:customStyle="1" w:styleId="Heading4Char">
    <w:name w:val="Heading 4 Char"/>
    <w:link w:val="Heading4"/>
    <w:uiPriority w:val="9"/>
    <w:rsid w:val="00F26235"/>
    <w:rPr>
      <w:rFonts w:eastAsia="MS Gothic"/>
      <w:b/>
      <w:bCs/>
      <w:i/>
      <w:iCs/>
      <w:color w:val="31849B"/>
    </w:rPr>
  </w:style>
  <w:style w:type="paragraph" w:styleId="TOC1">
    <w:name w:val="toc 1"/>
    <w:basedOn w:val="Normal"/>
    <w:next w:val="Normal"/>
    <w:autoRedefine/>
    <w:uiPriority w:val="39"/>
    <w:unhideWhenUsed/>
    <w:qFormat/>
    <w:rsid w:val="00C629AA"/>
    <w:pPr>
      <w:tabs>
        <w:tab w:val="left" w:pos="400"/>
        <w:tab w:val="right" w:pos="9016"/>
      </w:tabs>
      <w:spacing w:before="240" w:after="120"/>
    </w:pPr>
    <w:rPr>
      <w:rFonts w:asciiTheme="minorHAnsi" w:hAnsiTheme="minorHAnsi"/>
      <w:b/>
      <w:bCs/>
      <w:szCs w:val="20"/>
    </w:rPr>
  </w:style>
  <w:style w:type="paragraph" w:styleId="TOC2">
    <w:name w:val="toc 2"/>
    <w:basedOn w:val="Normal"/>
    <w:next w:val="Normal"/>
    <w:autoRedefine/>
    <w:uiPriority w:val="39"/>
    <w:unhideWhenUsed/>
    <w:qFormat/>
    <w:rsid w:val="00C629AA"/>
    <w:pPr>
      <w:tabs>
        <w:tab w:val="left" w:pos="800"/>
        <w:tab w:val="right" w:pos="9016"/>
      </w:tabs>
      <w:spacing w:before="120" w:after="0"/>
      <w:ind w:left="200"/>
    </w:pPr>
    <w:rPr>
      <w:rFonts w:asciiTheme="minorHAnsi" w:hAnsiTheme="minorHAnsi"/>
      <w:i/>
      <w:iCs/>
      <w:szCs w:val="20"/>
    </w:rPr>
  </w:style>
  <w:style w:type="paragraph" w:styleId="TOC3">
    <w:name w:val="toc 3"/>
    <w:basedOn w:val="Normal"/>
    <w:next w:val="Normal"/>
    <w:autoRedefine/>
    <w:uiPriority w:val="39"/>
    <w:unhideWhenUsed/>
    <w:qFormat/>
    <w:rsid w:val="00F26235"/>
    <w:pPr>
      <w:spacing w:after="0"/>
      <w:ind w:left="400"/>
    </w:pPr>
    <w:rPr>
      <w:rFonts w:asciiTheme="minorHAnsi" w:hAnsiTheme="minorHAnsi"/>
      <w:szCs w:val="20"/>
    </w:rPr>
  </w:style>
  <w:style w:type="character" w:customStyle="1" w:styleId="TitleChar">
    <w:name w:val="Title Char"/>
    <w:link w:val="Title"/>
    <w:uiPriority w:val="10"/>
    <w:rsid w:val="00F26235"/>
    <w:rPr>
      <w:rFonts w:ascii="Century Gothic" w:hAnsi="Century Gothic"/>
      <w:color w:val="009193"/>
      <w:sz w:val="80"/>
      <w:szCs w:val="80"/>
      <w:lang w:val="en-GB"/>
    </w:rPr>
  </w:style>
  <w:style w:type="paragraph" w:styleId="Subtitle">
    <w:name w:val="Subtitle"/>
    <w:basedOn w:val="Normal"/>
    <w:next w:val="Normal"/>
    <w:link w:val="SubtitleChar"/>
    <w:uiPriority w:val="11"/>
    <w:qFormat/>
    <w:rsid w:val="0094348E"/>
    <w:rPr>
      <w:rFonts w:ascii="Cambria" w:eastAsia="Cambria" w:hAnsi="Cambria" w:cs="Cambria"/>
      <w:i/>
      <w:color w:val="4F81BD"/>
      <w:sz w:val="24"/>
      <w:szCs w:val="24"/>
    </w:rPr>
  </w:style>
  <w:style w:type="character" w:customStyle="1" w:styleId="SubtitleChar">
    <w:name w:val="Subtitle Char"/>
    <w:link w:val="Subtitle"/>
    <w:uiPriority w:val="11"/>
    <w:rsid w:val="00F26235"/>
    <w:rPr>
      <w:rFonts w:eastAsia="MS Gothic"/>
      <w:i/>
      <w:iCs/>
      <w:color w:val="4F81BD"/>
      <w:spacing w:val="15"/>
    </w:rPr>
  </w:style>
  <w:style w:type="character" w:styleId="Strong">
    <w:name w:val="Strong"/>
    <w:uiPriority w:val="22"/>
    <w:qFormat/>
    <w:rsid w:val="00F26235"/>
    <w:rPr>
      <w:b/>
      <w:bCs/>
    </w:rPr>
  </w:style>
  <w:style w:type="character" w:styleId="Emphasis">
    <w:name w:val="Emphasis"/>
    <w:uiPriority w:val="20"/>
    <w:qFormat/>
    <w:rsid w:val="00F26235"/>
    <w:rPr>
      <w:i/>
      <w:iCs/>
    </w:rPr>
  </w:style>
  <w:style w:type="character" w:customStyle="1" w:styleId="NoSpacingChar">
    <w:name w:val="No Spacing Char"/>
    <w:link w:val="NoSpacing"/>
    <w:uiPriority w:val="1"/>
    <w:rsid w:val="00F26235"/>
    <w:rPr>
      <w:rFonts w:ascii="Century Gothic" w:hAnsi="Century Gothic"/>
      <w:sz w:val="20"/>
      <w:lang w:eastAsia="ja-JP"/>
    </w:rPr>
  </w:style>
  <w:style w:type="character" w:styleId="IntenseEmphasis">
    <w:name w:val="Intense Emphasis"/>
    <w:uiPriority w:val="21"/>
    <w:qFormat/>
    <w:rsid w:val="00F26235"/>
    <w:rPr>
      <w:b/>
      <w:bCs/>
      <w:i/>
      <w:iCs/>
      <w:color w:val="4F81BD"/>
    </w:rPr>
  </w:style>
  <w:style w:type="table" w:customStyle="1" w:styleId="6">
    <w:name w:val="6"/>
    <w:basedOn w:val="TableNormal"/>
    <w:rsid w:val="0094348E"/>
    <w:tblPr>
      <w:tblStyleRowBandSize w:val="1"/>
      <w:tblStyleColBandSize w:val="1"/>
      <w:tblCellMar>
        <w:top w:w="100" w:type="dxa"/>
        <w:left w:w="100" w:type="dxa"/>
        <w:bottom w:w="100" w:type="dxa"/>
        <w:right w:w="100" w:type="dxa"/>
      </w:tblCellMar>
    </w:tblPr>
  </w:style>
  <w:style w:type="table" w:customStyle="1" w:styleId="5">
    <w:name w:val="5"/>
    <w:basedOn w:val="TableNormal"/>
    <w:rsid w:val="0094348E"/>
    <w:tblPr>
      <w:tblStyleRowBandSize w:val="1"/>
      <w:tblStyleColBandSize w:val="1"/>
      <w:tblCellMar>
        <w:top w:w="100" w:type="dxa"/>
        <w:left w:w="100" w:type="dxa"/>
        <w:bottom w:w="100" w:type="dxa"/>
        <w:right w:w="100" w:type="dxa"/>
      </w:tblCellMar>
    </w:tblPr>
  </w:style>
  <w:style w:type="table" w:customStyle="1" w:styleId="4">
    <w:name w:val="4"/>
    <w:basedOn w:val="TableNormal"/>
    <w:rsid w:val="0094348E"/>
    <w:tblPr>
      <w:tblStyleRowBandSize w:val="1"/>
      <w:tblStyleColBandSize w:val="1"/>
      <w:tblCellMar>
        <w:top w:w="100" w:type="dxa"/>
        <w:left w:w="100" w:type="dxa"/>
        <w:bottom w:w="100" w:type="dxa"/>
        <w:right w:w="100" w:type="dxa"/>
      </w:tblCellMar>
    </w:tblPr>
  </w:style>
  <w:style w:type="table" w:customStyle="1" w:styleId="3">
    <w:name w:val="3"/>
    <w:basedOn w:val="TableNormal"/>
    <w:rsid w:val="0094348E"/>
    <w:tblPr>
      <w:tblStyleRowBandSize w:val="1"/>
      <w:tblStyleColBandSize w:val="1"/>
      <w:tblCellMar>
        <w:top w:w="100" w:type="dxa"/>
        <w:left w:w="100" w:type="dxa"/>
        <w:bottom w:w="100" w:type="dxa"/>
        <w:right w:w="100" w:type="dxa"/>
      </w:tblCellMar>
    </w:tblPr>
  </w:style>
  <w:style w:type="table" w:customStyle="1" w:styleId="2">
    <w:name w:val="2"/>
    <w:basedOn w:val="TableNormal"/>
    <w:rsid w:val="0094348E"/>
    <w:tblPr>
      <w:tblStyleRowBandSize w:val="1"/>
      <w:tblStyleColBandSize w:val="1"/>
      <w:tblCellMar>
        <w:top w:w="100" w:type="dxa"/>
        <w:left w:w="100" w:type="dxa"/>
        <w:bottom w:w="100" w:type="dxa"/>
        <w:right w:w="100" w:type="dxa"/>
      </w:tblCellMar>
    </w:tblPr>
  </w:style>
  <w:style w:type="table" w:customStyle="1" w:styleId="1">
    <w:name w:val="1"/>
    <w:basedOn w:val="TableNormal"/>
    <w:rsid w:val="0094348E"/>
    <w:tblPr>
      <w:tblStyleRowBandSize w:val="1"/>
      <w:tblStyleColBandSize w:val="1"/>
      <w:tblCellMar>
        <w:top w:w="100" w:type="dxa"/>
        <w:left w:w="100" w:type="dxa"/>
        <w:bottom w:w="100" w:type="dxa"/>
        <w:right w:w="100" w:type="dxa"/>
      </w:tblCellMar>
    </w:tblPr>
  </w:style>
  <w:style w:type="paragraph" w:styleId="TOC4">
    <w:name w:val="toc 4"/>
    <w:basedOn w:val="Normal"/>
    <w:next w:val="Normal"/>
    <w:autoRedefine/>
    <w:uiPriority w:val="39"/>
    <w:unhideWhenUsed/>
    <w:rsid w:val="000E63BE"/>
    <w:pPr>
      <w:spacing w:after="0"/>
      <w:ind w:left="600"/>
    </w:pPr>
    <w:rPr>
      <w:rFonts w:asciiTheme="minorHAnsi" w:hAnsiTheme="minorHAnsi"/>
      <w:szCs w:val="20"/>
    </w:rPr>
  </w:style>
  <w:style w:type="paragraph" w:styleId="TOC5">
    <w:name w:val="toc 5"/>
    <w:basedOn w:val="Normal"/>
    <w:next w:val="Normal"/>
    <w:autoRedefine/>
    <w:uiPriority w:val="39"/>
    <w:unhideWhenUsed/>
    <w:rsid w:val="000E63BE"/>
    <w:pPr>
      <w:spacing w:after="0"/>
      <w:ind w:left="800"/>
    </w:pPr>
    <w:rPr>
      <w:rFonts w:asciiTheme="minorHAnsi" w:hAnsiTheme="minorHAnsi"/>
      <w:szCs w:val="20"/>
    </w:rPr>
  </w:style>
  <w:style w:type="paragraph" w:styleId="TOC6">
    <w:name w:val="toc 6"/>
    <w:basedOn w:val="Normal"/>
    <w:next w:val="Normal"/>
    <w:autoRedefine/>
    <w:uiPriority w:val="39"/>
    <w:unhideWhenUsed/>
    <w:rsid w:val="000E63BE"/>
    <w:pPr>
      <w:spacing w:after="0"/>
      <w:ind w:left="1000"/>
    </w:pPr>
    <w:rPr>
      <w:rFonts w:asciiTheme="minorHAnsi" w:hAnsiTheme="minorHAnsi"/>
      <w:szCs w:val="20"/>
    </w:rPr>
  </w:style>
  <w:style w:type="paragraph" w:styleId="TOC7">
    <w:name w:val="toc 7"/>
    <w:basedOn w:val="Normal"/>
    <w:next w:val="Normal"/>
    <w:autoRedefine/>
    <w:uiPriority w:val="39"/>
    <w:unhideWhenUsed/>
    <w:rsid w:val="000E63BE"/>
    <w:pPr>
      <w:spacing w:after="0"/>
      <w:ind w:left="1200"/>
    </w:pPr>
    <w:rPr>
      <w:rFonts w:asciiTheme="minorHAnsi" w:hAnsiTheme="minorHAnsi"/>
      <w:szCs w:val="20"/>
    </w:rPr>
  </w:style>
  <w:style w:type="paragraph" w:styleId="TOC8">
    <w:name w:val="toc 8"/>
    <w:basedOn w:val="Normal"/>
    <w:next w:val="Normal"/>
    <w:autoRedefine/>
    <w:uiPriority w:val="39"/>
    <w:unhideWhenUsed/>
    <w:rsid w:val="000E63BE"/>
    <w:pPr>
      <w:spacing w:after="0"/>
      <w:ind w:left="1400"/>
    </w:pPr>
    <w:rPr>
      <w:rFonts w:asciiTheme="minorHAnsi" w:hAnsiTheme="minorHAnsi"/>
      <w:szCs w:val="20"/>
    </w:rPr>
  </w:style>
  <w:style w:type="paragraph" w:styleId="TOC9">
    <w:name w:val="toc 9"/>
    <w:basedOn w:val="Normal"/>
    <w:next w:val="Normal"/>
    <w:autoRedefine/>
    <w:uiPriority w:val="39"/>
    <w:unhideWhenUsed/>
    <w:rsid w:val="000E63BE"/>
    <w:pPr>
      <w:spacing w:after="0"/>
      <w:ind w:left="1600"/>
    </w:pPr>
    <w:rPr>
      <w:rFonts w:asciiTheme="minorHAnsi" w:hAnsiTheme="minorHAnsi"/>
      <w:szCs w:val="20"/>
    </w:rPr>
  </w:style>
  <w:style w:type="character" w:styleId="Hyperlink">
    <w:name w:val="Hyperlink"/>
    <w:basedOn w:val="DefaultParagraphFont"/>
    <w:uiPriority w:val="99"/>
    <w:unhideWhenUsed/>
    <w:rsid w:val="000E63BE"/>
    <w:rPr>
      <w:color w:val="0000FF" w:themeColor="hyperlink"/>
      <w:u w:val="single"/>
    </w:rPr>
  </w:style>
  <w:style w:type="paragraph" w:styleId="FootnoteText">
    <w:name w:val="footnote text"/>
    <w:basedOn w:val="Normal"/>
    <w:link w:val="FootnoteTextChar"/>
    <w:uiPriority w:val="99"/>
    <w:semiHidden/>
    <w:unhideWhenUsed/>
    <w:rsid w:val="00241473"/>
    <w:pPr>
      <w:spacing w:after="0"/>
    </w:pPr>
    <w:rPr>
      <w:szCs w:val="20"/>
    </w:rPr>
  </w:style>
  <w:style w:type="character" w:customStyle="1" w:styleId="FootnoteTextChar">
    <w:name w:val="Footnote Text Char"/>
    <w:basedOn w:val="DefaultParagraphFont"/>
    <w:link w:val="FootnoteText"/>
    <w:uiPriority w:val="99"/>
    <w:semiHidden/>
    <w:rsid w:val="00241473"/>
  </w:style>
  <w:style w:type="character" w:styleId="FootnoteReference">
    <w:name w:val="footnote reference"/>
    <w:basedOn w:val="DefaultParagraphFont"/>
    <w:uiPriority w:val="99"/>
    <w:semiHidden/>
    <w:unhideWhenUsed/>
    <w:rsid w:val="00241473"/>
    <w:rPr>
      <w:vertAlign w:val="superscript"/>
    </w:rPr>
  </w:style>
  <w:style w:type="table" w:styleId="TableGrid">
    <w:name w:val="Table Grid"/>
    <w:basedOn w:val="TableNormal"/>
    <w:uiPriority w:val="39"/>
    <w:rsid w:val="000463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F7F47"/>
    <w:pPr>
      <w:tabs>
        <w:tab w:val="center" w:pos="4513"/>
        <w:tab w:val="right" w:pos="9026"/>
      </w:tabs>
      <w:spacing w:after="0"/>
    </w:pPr>
  </w:style>
  <w:style w:type="character" w:customStyle="1" w:styleId="FooterChar">
    <w:name w:val="Footer Char"/>
    <w:basedOn w:val="DefaultParagraphFont"/>
    <w:link w:val="Footer"/>
    <w:uiPriority w:val="99"/>
    <w:rsid w:val="00AF7F47"/>
    <w:rPr>
      <w:szCs w:val="18"/>
    </w:rPr>
  </w:style>
  <w:style w:type="character" w:styleId="PageNumber">
    <w:name w:val="page number"/>
    <w:basedOn w:val="DefaultParagraphFont"/>
    <w:uiPriority w:val="99"/>
    <w:semiHidden/>
    <w:unhideWhenUsed/>
    <w:rsid w:val="00AF7F47"/>
  </w:style>
  <w:style w:type="character" w:styleId="CommentReference">
    <w:name w:val="annotation reference"/>
    <w:basedOn w:val="DefaultParagraphFont"/>
    <w:uiPriority w:val="99"/>
    <w:semiHidden/>
    <w:unhideWhenUsed/>
    <w:rsid w:val="0009068A"/>
    <w:rPr>
      <w:sz w:val="16"/>
      <w:szCs w:val="16"/>
    </w:rPr>
  </w:style>
  <w:style w:type="paragraph" w:styleId="CommentText">
    <w:name w:val="annotation text"/>
    <w:basedOn w:val="Normal"/>
    <w:link w:val="CommentTextChar"/>
    <w:uiPriority w:val="99"/>
    <w:unhideWhenUsed/>
    <w:rsid w:val="0009068A"/>
    <w:rPr>
      <w:szCs w:val="20"/>
    </w:rPr>
  </w:style>
  <w:style w:type="character" w:customStyle="1" w:styleId="CommentTextChar">
    <w:name w:val="Comment Text Char"/>
    <w:basedOn w:val="DefaultParagraphFont"/>
    <w:link w:val="CommentText"/>
    <w:uiPriority w:val="99"/>
    <w:rsid w:val="0009068A"/>
  </w:style>
  <w:style w:type="paragraph" w:styleId="CommentSubject">
    <w:name w:val="annotation subject"/>
    <w:basedOn w:val="CommentText"/>
    <w:next w:val="CommentText"/>
    <w:link w:val="CommentSubjectChar"/>
    <w:uiPriority w:val="99"/>
    <w:semiHidden/>
    <w:unhideWhenUsed/>
    <w:rsid w:val="0009068A"/>
    <w:rPr>
      <w:b/>
      <w:bCs/>
    </w:rPr>
  </w:style>
  <w:style w:type="character" w:customStyle="1" w:styleId="CommentSubjectChar">
    <w:name w:val="Comment Subject Char"/>
    <w:basedOn w:val="CommentTextChar"/>
    <w:link w:val="CommentSubject"/>
    <w:uiPriority w:val="99"/>
    <w:semiHidden/>
    <w:rsid w:val="0009068A"/>
    <w:rPr>
      <w:b/>
      <w:bCs/>
    </w:rPr>
  </w:style>
  <w:style w:type="paragraph" w:styleId="BalloonText">
    <w:name w:val="Balloon Text"/>
    <w:basedOn w:val="Normal"/>
    <w:link w:val="BalloonTextChar"/>
    <w:uiPriority w:val="99"/>
    <w:semiHidden/>
    <w:unhideWhenUsed/>
    <w:rsid w:val="0009068A"/>
    <w:pPr>
      <w:spacing w:after="0"/>
    </w:pPr>
    <w:rPr>
      <w:rFonts w:ascii="Times New Roman" w:hAnsi="Times New Roman" w:cs="Times New Roman"/>
      <w:sz w:val="18"/>
    </w:rPr>
  </w:style>
  <w:style w:type="character" w:customStyle="1" w:styleId="BalloonTextChar">
    <w:name w:val="Balloon Text Char"/>
    <w:basedOn w:val="DefaultParagraphFont"/>
    <w:link w:val="BalloonText"/>
    <w:uiPriority w:val="99"/>
    <w:semiHidden/>
    <w:rsid w:val="0009068A"/>
    <w:rPr>
      <w:rFonts w:ascii="Times New Roman" w:hAnsi="Times New Roman" w:cs="Times New Roman"/>
      <w:sz w:val="18"/>
      <w:szCs w:val="18"/>
    </w:rPr>
  </w:style>
  <w:style w:type="paragraph" w:styleId="Revision">
    <w:name w:val="Revision"/>
    <w:hidden/>
    <w:uiPriority w:val="99"/>
    <w:semiHidden/>
    <w:rsid w:val="0074000C"/>
    <w:pPr>
      <w:spacing w:after="0"/>
    </w:pPr>
    <w:rPr>
      <w:szCs w:val="18"/>
    </w:rPr>
  </w:style>
  <w:style w:type="character" w:customStyle="1" w:styleId="UnresolvedMention1">
    <w:name w:val="Unresolved Mention1"/>
    <w:basedOn w:val="DefaultParagraphFont"/>
    <w:uiPriority w:val="99"/>
    <w:semiHidden/>
    <w:unhideWhenUsed/>
    <w:rsid w:val="00877410"/>
    <w:rPr>
      <w:color w:val="605E5C"/>
      <w:shd w:val="clear" w:color="auto" w:fill="E1DFDD"/>
    </w:rPr>
  </w:style>
  <w:style w:type="paragraph" w:styleId="NormalWeb">
    <w:name w:val="Normal (Web)"/>
    <w:basedOn w:val="Normal"/>
    <w:uiPriority w:val="99"/>
    <w:unhideWhenUsed/>
    <w:rsid w:val="001146A8"/>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apple-converted-space">
    <w:name w:val="apple-converted-space"/>
    <w:basedOn w:val="DefaultParagraphFont"/>
    <w:rsid w:val="000D4816"/>
  </w:style>
  <w:style w:type="paragraph" w:styleId="Header">
    <w:name w:val="header"/>
    <w:basedOn w:val="Normal"/>
    <w:link w:val="HeaderChar"/>
    <w:uiPriority w:val="99"/>
    <w:unhideWhenUsed/>
    <w:rsid w:val="00F15904"/>
    <w:pPr>
      <w:tabs>
        <w:tab w:val="center" w:pos="4680"/>
        <w:tab w:val="right" w:pos="9360"/>
      </w:tabs>
      <w:spacing w:after="0"/>
    </w:pPr>
  </w:style>
  <w:style w:type="character" w:customStyle="1" w:styleId="HeaderChar">
    <w:name w:val="Header Char"/>
    <w:basedOn w:val="DefaultParagraphFont"/>
    <w:link w:val="Header"/>
    <w:uiPriority w:val="99"/>
    <w:rsid w:val="00F15904"/>
    <w:rPr>
      <w:szCs w:val="18"/>
    </w:rPr>
  </w:style>
  <w:style w:type="character" w:styleId="FollowedHyperlink">
    <w:name w:val="FollowedHyperlink"/>
    <w:basedOn w:val="DefaultParagraphFont"/>
    <w:uiPriority w:val="99"/>
    <w:semiHidden/>
    <w:unhideWhenUsed/>
    <w:rsid w:val="00060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7937">
      <w:bodyDiv w:val="1"/>
      <w:marLeft w:val="0"/>
      <w:marRight w:val="0"/>
      <w:marTop w:val="0"/>
      <w:marBottom w:val="0"/>
      <w:divBdr>
        <w:top w:val="none" w:sz="0" w:space="0" w:color="auto"/>
        <w:left w:val="none" w:sz="0" w:space="0" w:color="auto"/>
        <w:bottom w:val="none" w:sz="0" w:space="0" w:color="auto"/>
        <w:right w:val="none" w:sz="0" w:space="0" w:color="auto"/>
      </w:divBdr>
    </w:div>
    <w:div w:id="365906865">
      <w:bodyDiv w:val="1"/>
      <w:marLeft w:val="0"/>
      <w:marRight w:val="0"/>
      <w:marTop w:val="0"/>
      <w:marBottom w:val="0"/>
      <w:divBdr>
        <w:top w:val="none" w:sz="0" w:space="0" w:color="auto"/>
        <w:left w:val="none" w:sz="0" w:space="0" w:color="auto"/>
        <w:bottom w:val="none" w:sz="0" w:space="0" w:color="auto"/>
        <w:right w:val="none" w:sz="0" w:space="0" w:color="auto"/>
      </w:divBdr>
    </w:div>
    <w:div w:id="868639794">
      <w:bodyDiv w:val="1"/>
      <w:marLeft w:val="0"/>
      <w:marRight w:val="0"/>
      <w:marTop w:val="0"/>
      <w:marBottom w:val="0"/>
      <w:divBdr>
        <w:top w:val="none" w:sz="0" w:space="0" w:color="auto"/>
        <w:left w:val="none" w:sz="0" w:space="0" w:color="auto"/>
        <w:bottom w:val="none" w:sz="0" w:space="0" w:color="auto"/>
        <w:right w:val="none" w:sz="0" w:space="0" w:color="auto"/>
      </w:divBdr>
      <w:divsChild>
        <w:div w:id="122160276">
          <w:marLeft w:val="0"/>
          <w:marRight w:val="0"/>
          <w:marTop w:val="0"/>
          <w:marBottom w:val="0"/>
          <w:divBdr>
            <w:top w:val="none" w:sz="0" w:space="0" w:color="auto"/>
            <w:left w:val="none" w:sz="0" w:space="0" w:color="auto"/>
            <w:bottom w:val="none" w:sz="0" w:space="0" w:color="auto"/>
            <w:right w:val="none" w:sz="0" w:space="0" w:color="auto"/>
          </w:divBdr>
          <w:divsChild>
            <w:div w:id="147328511">
              <w:marLeft w:val="0"/>
              <w:marRight w:val="0"/>
              <w:marTop w:val="0"/>
              <w:marBottom w:val="0"/>
              <w:divBdr>
                <w:top w:val="none" w:sz="0" w:space="0" w:color="auto"/>
                <w:left w:val="none" w:sz="0" w:space="0" w:color="auto"/>
                <w:bottom w:val="none" w:sz="0" w:space="0" w:color="auto"/>
                <w:right w:val="none" w:sz="0" w:space="0" w:color="auto"/>
              </w:divBdr>
              <w:divsChild>
                <w:div w:id="2230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98503">
      <w:bodyDiv w:val="1"/>
      <w:marLeft w:val="0"/>
      <w:marRight w:val="0"/>
      <w:marTop w:val="0"/>
      <w:marBottom w:val="0"/>
      <w:divBdr>
        <w:top w:val="none" w:sz="0" w:space="0" w:color="auto"/>
        <w:left w:val="none" w:sz="0" w:space="0" w:color="auto"/>
        <w:bottom w:val="none" w:sz="0" w:space="0" w:color="auto"/>
        <w:right w:val="none" w:sz="0" w:space="0" w:color="auto"/>
      </w:divBdr>
    </w:div>
    <w:div w:id="1008286873">
      <w:bodyDiv w:val="1"/>
      <w:marLeft w:val="0"/>
      <w:marRight w:val="0"/>
      <w:marTop w:val="0"/>
      <w:marBottom w:val="0"/>
      <w:divBdr>
        <w:top w:val="none" w:sz="0" w:space="0" w:color="auto"/>
        <w:left w:val="none" w:sz="0" w:space="0" w:color="auto"/>
        <w:bottom w:val="none" w:sz="0" w:space="0" w:color="auto"/>
        <w:right w:val="none" w:sz="0" w:space="0" w:color="auto"/>
      </w:divBdr>
      <w:divsChild>
        <w:div w:id="1035273538">
          <w:marLeft w:val="144"/>
          <w:marRight w:val="0"/>
          <w:marTop w:val="240"/>
          <w:marBottom w:val="200"/>
          <w:divBdr>
            <w:top w:val="none" w:sz="0" w:space="0" w:color="auto"/>
            <w:left w:val="none" w:sz="0" w:space="0" w:color="auto"/>
            <w:bottom w:val="none" w:sz="0" w:space="0" w:color="auto"/>
            <w:right w:val="none" w:sz="0" w:space="0" w:color="auto"/>
          </w:divBdr>
        </w:div>
      </w:divsChild>
    </w:div>
    <w:div w:id="1410693721">
      <w:bodyDiv w:val="1"/>
      <w:marLeft w:val="0"/>
      <w:marRight w:val="0"/>
      <w:marTop w:val="0"/>
      <w:marBottom w:val="0"/>
      <w:divBdr>
        <w:top w:val="none" w:sz="0" w:space="0" w:color="auto"/>
        <w:left w:val="none" w:sz="0" w:space="0" w:color="auto"/>
        <w:bottom w:val="none" w:sz="0" w:space="0" w:color="auto"/>
        <w:right w:val="none" w:sz="0" w:space="0" w:color="auto"/>
      </w:divBdr>
    </w:div>
    <w:div w:id="1448963822">
      <w:bodyDiv w:val="1"/>
      <w:marLeft w:val="0"/>
      <w:marRight w:val="0"/>
      <w:marTop w:val="0"/>
      <w:marBottom w:val="0"/>
      <w:divBdr>
        <w:top w:val="none" w:sz="0" w:space="0" w:color="auto"/>
        <w:left w:val="none" w:sz="0" w:space="0" w:color="auto"/>
        <w:bottom w:val="none" w:sz="0" w:space="0" w:color="auto"/>
        <w:right w:val="none" w:sz="0" w:space="0" w:color="auto"/>
      </w:divBdr>
    </w:div>
    <w:div w:id="1547764459">
      <w:bodyDiv w:val="1"/>
      <w:marLeft w:val="0"/>
      <w:marRight w:val="0"/>
      <w:marTop w:val="0"/>
      <w:marBottom w:val="0"/>
      <w:divBdr>
        <w:top w:val="none" w:sz="0" w:space="0" w:color="auto"/>
        <w:left w:val="none" w:sz="0" w:space="0" w:color="auto"/>
        <w:bottom w:val="none" w:sz="0" w:space="0" w:color="auto"/>
        <w:right w:val="none" w:sz="0" w:space="0" w:color="auto"/>
      </w:divBdr>
      <w:divsChild>
        <w:div w:id="1717312702">
          <w:marLeft w:val="720"/>
          <w:marRight w:val="0"/>
          <w:marTop w:val="240"/>
          <w:marBottom w:val="40"/>
          <w:divBdr>
            <w:top w:val="none" w:sz="0" w:space="0" w:color="auto"/>
            <w:left w:val="none" w:sz="0" w:space="0" w:color="auto"/>
            <w:bottom w:val="none" w:sz="0" w:space="0" w:color="auto"/>
            <w:right w:val="none" w:sz="0" w:space="0" w:color="auto"/>
          </w:divBdr>
        </w:div>
        <w:div w:id="1751924105">
          <w:marLeft w:val="1181"/>
          <w:marRight w:val="0"/>
          <w:marTop w:val="40"/>
          <w:marBottom w:val="80"/>
          <w:divBdr>
            <w:top w:val="none" w:sz="0" w:space="0" w:color="auto"/>
            <w:left w:val="none" w:sz="0" w:space="0" w:color="auto"/>
            <w:bottom w:val="none" w:sz="0" w:space="0" w:color="auto"/>
            <w:right w:val="none" w:sz="0" w:space="0" w:color="auto"/>
          </w:divBdr>
        </w:div>
        <w:div w:id="1153368938">
          <w:marLeft w:val="1181"/>
          <w:marRight w:val="0"/>
          <w:marTop w:val="40"/>
          <w:marBottom w:val="80"/>
          <w:divBdr>
            <w:top w:val="none" w:sz="0" w:space="0" w:color="auto"/>
            <w:left w:val="none" w:sz="0" w:space="0" w:color="auto"/>
            <w:bottom w:val="none" w:sz="0" w:space="0" w:color="auto"/>
            <w:right w:val="none" w:sz="0" w:space="0" w:color="auto"/>
          </w:divBdr>
        </w:div>
        <w:div w:id="135950177">
          <w:marLeft w:val="720"/>
          <w:marRight w:val="0"/>
          <w:marTop w:val="240"/>
          <w:marBottom w:val="40"/>
          <w:divBdr>
            <w:top w:val="none" w:sz="0" w:space="0" w:color="auto"/>
            <w:left w:val="none" w:sz="0" w:space="0" w:color="auto"/>
            <w:bottom w:val="none" w:sz="0" w:space="0" w:color="auto"/>
            <w:right w:val="none" w:sz="0" w:space="0" w:color="auto"/>
          </w:divBdr>
        </w:div>
        <w:div w:id="860779252">
          <w:marLeft w:val="1195"/>
          <w:marRight w:val="0"/>
          <w:marTop w:val="40"/>
          <w:marBottom w:val="80"/>
          <w:divBdr>
            <w:top w:val="none" w:sz="0" w:space="0" w:color="auto"/>
            <w:left w:val="none" w:sz="0" w:space="0" w:color="auto"/>
            <w:bottom w:val="none" w:sz="0" w:space="0" w:color="auto"/>
            <w:right w:val="none" w:sz="0" w:space="0" w:color="auto"/>
          </w:divBdr>
        </w:div>
        <w:div w:id="1331102902">
          <w:marLeft w:val="720"/>
          <w:marRight w:val="0"/>
          <w:marTop w:val="240"/>
          <w:marBottom w:val="40"/>
          <w:divBdr>
            <w:top w:val="none" w:sz="0" w:space="0" w:color="auto"/>
            <w:left w:val="none" w:sz="0" w:space="0" w:color="auto"/>
            <w:bottom w:val="none" w:sz="0" w:space="0" w:color="auto"/>
            <w:right w:val="none" w:sz="0" w:space="0" w:color="auto"/>
          </w:divBdr>
        </w:div>
        <w:div w:id="261039722">
          <w:marLeft w:val="1195"/>
          <w:marRight w:val="0"/>
          <w:marTop w:val="40"/>
          <w:marBottom w:val="80"/>
          <w:divBdr>
            <w:top w:val="none" w:sz="0" w:space="0" w:color="auto"/>
            <w:left w:val="none" w:sz="0" w:space="0" w:color="auto"/>
            <w:bottom w:val="none" w:sz="0" w:space="0" w:color="auto"/>
            <w:right w:val="none" w:sz="0" w:space="0" w:color="auto"/>
          </w:divBdr>
        </w:div>
        <w:div w:id="921765550">
          <w:marLeft w:val="1195"/>
          <w:marRight w:val="0"/>
          <w:marTop w:val="40"/>
          <w:marBottom w:val="80"/>
          <w:divBdr>
            <w:top w:val="none" w:sz="0" w:space="0" w:color="auto"/>
            <w:left w:val="none" w:sz="0" w:space="0" w:color="auto"/>
            <w:bottom w:val="none" w:sz="0" w:space="0" w:color="auto"/>
            <w:right w:val="none" w:sz="0" w:space="0" w:color="auto"/>
          </w:divBdr>
        </w:div>
        <w:div w:id="1689942364">
          <w:marLeft w:val="720"/>
          <w:marRight w:val="0"/>
          <w:marTop w:val="240"/>
          <w:marBottom w:val="40"/>
          <w:divBdr>
            <w:top w:val="none" w:sz="0" w:space="0" w:color="auto"/>
            <w:left w:val="none" w:sz="0" w:space="0" w:color="auto"/>
            <w:bottom w:val="none" w:sz="0" w:space="0" w:color="auto"/>
            <w:right w:val="none" w:sz="0" w:space="0" w:color="auto"/>
          </w:divBdr>
        </w:div>
      </w:divsChild>
    </w:div>
    <w:div w:id="1841459439">
      <w:bodyDiv w:val="1"/>
      <w:marLeft w:val="0"/>
      <w:marRight w:val="0"/>
      <w:marTop w:val="0"/>
      <w:marBottom w:val="0"/>
      <w:divBdr>
        <w:top w:val="none" w:sz="0" w:space="0" w:color="auto"/>
        <w:left w:val="none" w:sz="0" w:space="0" w:color="auto"/>
        <w:bottom w:val="none" w:sz="0" w:space="0" w:color="auto"/>
        <w:right w:val="none" w:sz="0" w:space="0" w:color="auto"/>
      </w:divBdr>
      <w:divsChild>
        <w:div w:id="656343135">
          <w:marLeft w:val="0"/>
          <w:marRight w:val="0"/>
          <w:marTop w:val="0"/>
          <w:marBottom w:val="0"/>
          <w:divBdr>
            <w:top w:val="none" w:sz="0" w:space="0" w:color="auto"/>
            <w:left w:val="none" w:sz="0" w:space="0" w:color="auto"/>
            <w:bottom w:val="none" w:sz="0" w:space="0" w:color="auto"/>
            <w:right w:val="none" w:sz="0" w:space="0" w:color="auto"/>
          </w:divBdr>
          <w:divsChild>
            <w:div w:id="624585336">
              <w:marLeft w:val="0"/>
              <w:marRight w:val="0"/>
              <w:marTop w:val="0"/>
              <w:marBottom w:val="0"/>
              <w:divBdr>
                <w:top w:val="none" w:sz="0" w:space="0" w:color="auto"/>
                <w:left w:val="none" w:sz="0" w:space="0" w:color="auto"/>
                <w:bottom w:val="none" w:sz="0" w:space="0" w:color="auto"/>
                <w:right w:val="none" w:sz="0" w:space="0" w:color="auto"/>
              </w:divBdr>
              <w:divsChild>
                <w:div w:id="999306071">
                  <w:marLeft w:val="0"/>
                  <w:marRight w:val="0"/>
                  <w:marTop w:val="0"/>
                  <w:marBottom w:val="0"/>
                  <w:divBdr>
                    <w:top w:val="none" w:sz="0" w:space="0" w:color="auto"/>
                    <w:left w:val="none" w:sz="0" w:space="0" w:color="auto"/>
                    <w:bottom w:val="none" w:sz="0" w:space="0" w:color="auto"/>
                    <w:right w:val="none" w:sz="0" w:space="0" w:color="auto"/>
                  </w:divBdr>
                </w:div>
              </w:divsChild>
            </w:div>
            <w:div w:id="1480613822">
              <w:marLeft w:val="0"/>
              <w:marRight w:val="0"/>
              <w:marTop w:val="0"/>
              <w:marBottom w:val="0"/>
              <w:divBdr>
                <w:top w:val="none" w:sz="0" w:space="0" w:color="auto"/>
                <w:left w:val="none" w:sz="0" w:space="0" w:color="auto"/>
                <w:bottom w:val="none" w:sz="0" w:space="0" w:color="auto"/>
                <w:right w:val="none" w:sz="0" w:space="0" w:color="auto"/>
              </w:divBdr>
              <w:divsChild>
                <w:div w:id="77440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6445">
          <w:marLeft w:val="0"/>
          <w:marRight w:val="0"/>
          <w:marTop w:val="0"/>
          <w:marBottom w:val="0"/>
          <w:divBdr>
            <w:top w:val="none" w:sz="0" w:space="0" w:color="auto"/>
            <w:left w:val="none" w:sz="0" w:space="0" w:color="auto"/>
            <w:bottom w:val="none" w:sz="0" w:space="0" w:color="auto"/>
            <w:right w:val="none" w:sz="0" w:space="0" w:color="auto"/>
          </w:divBdr>
          <w:divsChild>
            <w:div w:id="1821075449">
              <w:marLeft w:val="0"/>
              <w:marRight w:val="0"/>
              <w:marTop w:val="0"/>
              <w:marBottom w:val="0"/>
              <w:divBdr>
                <w:top w:val="none" w:sz="0" w:space="0" w:color="auto"/>
                <w:left w:val="none" w:sz="0" w:space="0" w:color="auto"/>
                <w:bottom w:val="none" w:sz="0" w:space="0" w:color="auto"/>
                <w:right w:val="none" w:sz="0" w:space="0" w:color="auto"/>
              </w:divBdr>
              <w:divsChild>
                <w:div w:id="14057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959810">
      <w:bodyDiv w:val="1"/>
      <w:marLeft w:val="0"/>
      <w:marRight w:val="0"/>
      <w:marTop w:val="0"/>
      <w:marBottom w:val="0"/>
      <w:divBdr>
        <w:top w:val="none" w:sz="0" w:space="0" w:color="auto"/>
        <w:left w:val="none" w:sz="0" w:space="0" w:color="auto"/>
        <w:bottom w:val="none" w:sz="0" w:space="0" w:color="auto"/>
        <w:right w:val="none" w:sz="0" w:space="0" w:color="auto"/>
      </w:divBdr>
      <w:divsChild>
        <w:div w:id="1338076667">
          <w:marLeft w:val="547"/>
          <w:marRight w:val="0"/>
          <w:marTop w:val="240"/>
          <w:marBottom w:val="40"/>
          <w:divBdr>
            <w:top w:val="none" w:sz="0" w:space="0" w:color="auto"/>
            <w:left w:val="none" w:sz="0" w:space="0" w:color="auto"/>
            <w:bottom w:val="none" w:sz="0" w:space="0" w:color="auto"/>
            <w:right w:val="none" w:sz="0" w:space="0" w:color="auto"/>
          </w:divBdr>
        </w:div>
        <w:div w:id="170266221">
          <w:marLeft w:val="547"/>
          <w:marRight w:val="0"/>
          <w:marTop w:val="240"/>
          <w:marBottom w:val="40"/>
          <w:divBdr>
            <w:top w:val="none" w:sz="0" w:space="0" w:color="auto"/>
            <w:left w:val="none" w:sz="0" w:space="0" w:color="auto"/>
            <w:bottom w:val="none" w:sz="0" w:space="0" w:color="auto"/>
            <w:right w:val="none" w:sz="0" w:space="0" w:color="auto"/>
          </w:divBdr>
        </w:div>
        <w:div w:id="1819298377">
          <w:marLeft w:val="547"/>
          <w:marRight w:val="0"/>
          <w:marTop w:val="240"/>
          <w:marBottom w:val="40"/>
          <w:divBdr>
            <w:top w:val="none" w:sz="0" w:space="0" w:color="auto"/>
            <w:left w:val="none" w:sz="0" w:space="0" w:color="auto"/>
            <w:bottom w:val="none" w:sz="0" w:space="0" w:color="auto"/>
            <w:right w:val="none" w:sz="0" w:space="0" w:color="auto"/>
          </w:divBdr>
        </w:div>
        <w:div w:id="509611550">
          <w:marLeft w:val="547"/>
          <w:marRight w:val="0"/>
          <w:marTop w:val="240"/>
          <w:marBottom w:val="40"/>
          <w:divBdr>
            <w:top w:val="none" w:sz="0" w:space="0" w:color="auto"/>
            <w:left w:val="none" w:sz="0" w:space="0" w:color="auto"/>
            <w:bottom w:val="none" w:sz="0" w:space="0" w:color="auto"/>
            <w:right w:val="none" w:sz="0" w:space="0" w:color="auto"/>
          </w:divBdr>
        </w:div>
        <w:div w:id="385687403">
          <w:marLeft w:val="547"/>
          <w:marRight w:val="0"/>
          <w:marTop w:val="240"/>
          <w:marBottom w:val="2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hyperlink" Target="about:blank" TargetMode="External"/><Relationship Id="rId9"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Sheet1!$B$17</c:f>
              <c:strCache>
                <c:ptCount val="1"/>
                <c:pt idx="0">
                  <c:v>Heroin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Sheet1!$A$18:$A$22</c:f>
              <c:numCache>
                <c:formatCode>General</c:formatCode>
                <c:ptCount val="5"/>
                <c:pt idx="0">
                  <c:v>2017</c:v>
                </c:pt>
                <c:pt idx="1">
                  <c:v>2018</c:v>
                </c:pt>
                <c:pt idx="2">
                  <c:v>2019</c:v>
                </c:pt>
                <c:pt idx="3">
                  <c:v>2020</c:v>
                </c:pt>
                <c:pt idx="4">
                  <c:v>2021</c:v>
                </c:pt>
              </c:numCache>
            </c:numRef>
          </c:cat>
          <c:val>
            <c:numRef>
              <c:f>Sheet1!$B$18:$B$22</c:f>
              <c:numCache>
                <c:formatCode>0%</c:formatCode>
                <c:ptCount val="5"/>
                <c:pt idx="0">
                  <c:v>0.45</c:v>
                </c:pt>
                <c:pt idx="1">
                  <c:v>0.43000000000000033</c:v>
                </c:pt>
                <c:pt idx="2">
                  <c:v>0.4</c:v>
                </c:pt>
                <c:pt idx="3">
                  <c:v>0.37000000000000033</c:v>
                </c:pt>
                <c:pt idx="4">
                  <c:v>0.33000000000000046</c:v>
                </c:pt>
              </c:numCache>
            </c:numRef>
          </c:val>
          <c:smooth val="0"/>
          <c:extLst>
            <c:ext xmlns:c16="http://schemas.microsoft.com/office/drawing/2014/chart" uri="{C3380CC4-5D6E-409C-BE32-E72D297353CC}">
              <c16:uniqueId val="{00000000-A295-FC42-ADEB-51E6361EBDE4}"/>
            </c:ext>
          </c:extLst>
        </c:ser>
        <c:ser>
          <c:idx val="1"/>
          <c:order val="1"/>
          <c:tx>
            <c:strRef>
              <c:f>Sheet1!$C$17</c:f>
              <c:strCache>
                <c:ptCount val="1"/>
                <c:pt idx="0">
                  <c:v>Cocaine</c:v>
                </c:pt>
              </c:strCache>
            </c:strRef>
          </c:tx>
          <c:spPr>
            <a:ln w="28575" cap="rnd">
              <a:solidFill>
                <a:schemeClr val="accent2"/>
              </a:solidFill>
              <a:round/>
            </a:ln>
            <a:effectLst/>
          </c:spPr>
          <c:marker>
            <c:symbol val="none"/>
          </c:marker>
          <c:dLbls>
            <c:dLbl>
              <c:idx val="4"/>
              <c:layout>
                <c:manualLayout>
                  <c:x val="-4.7291250849911155E-2"/>
                  <c:y val="3.689944256043783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6.3941613844230472E-2"/>
                      <c:h val="0.11566543438077634"/>
                    </c:manualLayout>
                  </c15:layout>
                </c:ext>
                <c:ext xmlns:c16="http://schemas.microsoft.com/office/drawing/2014/chart" uri="{C3380CC4-5D6E-409C-BE32-E72D297353CC}">
                  <c16:uniqueId val="{00000004-A295-FC42-ADEB-51E6361EBD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Sheet1!$A$18:$A$22</c:f>
              <c:numCache>
                <c:formatCode>General</c:formatCode>
                <c:ptCount val="5"/>
                <c:pt idx="0">
                  <c:v>2017</c:v>
                </c:pt>
                <c:pt idx="1">
                  <c:v>2018</c:v>
                </c:pt>
                <c:pt idx="2">
                  <c:v>2019</c:v>
                </c:pt>
                <c:pt idx="3">
                  <c:v>2020</c:v>
                </c:pt>
                <c:pt idx="4">
                  <c:v>2021</c:v>
                </c:pt>
              </c:numCache>
            </c:numRef>
          </c:cat>
          <c:val>
            <c:numRef>
              <c:f>Sheet1!$C$18:$C$22</c:f>
              <c:numCache>
                <c:formatCode>0%</c:formatCode>
                <c:ptCount val="5"/>
                <c:pt idx="0">
                  <c:v>0.2</c:v>
                </c:pt>
                <c:pt idx="1">
                  <c:v>0.25</c:v>
                </c:pt>
                <c:pt idx="2">
                  <c:v>0.26</c:v>
                </c:pt>
                <c:pt idx="3">
                  <c:v>0.29000000000000031</c:v>
                </c:pt>
                <c:pt idx="4">
                  <c:v>0.3200000000000004</c:v>
                </c:pt>
              </c:numCache>
            </c:numRef>
          </c:val>
          <c:smooth val="0"/>
          <c:extLst>
            <c:ext xmlns:c16="http://schemas.microsoft.com/office/drawing/2014/chart" uri="{C3380CC4-5D6E-409C-BE32-E72D297353CC}">
              <c16:uniqueId val="{00000001-A295-FC42-ADEB-51E6361EBDE4}"/>
            </c:ext>
          </c:extLst>
        </c:ser>
        <c:ser>
          <c:idx val="2"/>
          <c:order val="2"/>
          <c:tx>
            <c:strRef>
              <c:f>Sheet1!$D$17</c:f>
              <c:strCache>
                <c:ptCount val="1"/>
                <c:pt idx="0">
                  <c:v>Benzodiazepines</c:v>
                </c:pt>
              </c:strCache>
            </c:strRef>
          </c:tx>
          <c:spPr>
            <a:ln w="28575" cap="rnd">
              <a:solidFill>
                <a:schemeClr val="accent6">
                  <a:lumMod val="60000"/>
                  <a:lumOff val="40000"/>
                </a:schemeClr>
              </a:solidFill>
              <a:round/>
            </a:ln>
            <a:effectLst/>
          </c:spPr>
          <c:marker>
            <c:symbol val="none"/>
          </c:marker>
          <c:dLbls>
            <c:dLbl>
              <c:idx val="0"/>
              <c:layout>
                <c:manualLayout>
                  <c:x val="-4.5912311100388341E-2"/>
                  <c:y val="-1.162181437117043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A295-FC42-ADEB-51E6361EBDE4}"/>
                </c:ext>
              </c:extLst>
            </c:dLbl>
            <c:dLbl>
              <c:idx val="1"/>
              <c:layout>
                <c:manualLayout>
                  <c:x val="-4.0341170793762121E-2"/>
                  <c:y val="2.996783442735085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5.0041673063847512E-2"/>
                      <c:h val="5.5591497227356748E-2"/>
                    </c:manualLayout>
                  </c15:layout>
                </c:ext>
                <c:ext xmlns:c16="http://schemas.microsoft.com/office/drawing/2014/chart" uri="{C3380CC4-5D6E-409C-BE32-E72D297353CC}">
                  <c16:uniqueId val="{00000007-A295-FC42-ADEB-51E6361EBDE4}"/>
                </c:ext>
              </c:extLst>
            </c:dLbl>
            <c:dLbl>
              <c:idx val="3"/>
              <c:layout>
                <c:manualLayout>
                  <c:x val="-4.7291250849911273E-2"/>
                  <c:y val="4.3831050693524685E-2"/>
                </c:manualLayout>
              </c:layout>
              <c:dLblPos val="r"/>
              <c:showLegendKey val="0"/>
              <c:showVal val="1"/>
              <c:showCatName val="0"/>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A295-FC42-ADEB-51E6361EBDE4}"/>
                </c:ext>
              </c:extLst>
            </c:dLbl>
            <c:dLbl>
              <c:idx val="4"/>
              <c:layout>
                <c:manualLayout>
                  <c:x val="-4.1720220209242591E-2"/>
                  <c:y val="4.3831050693524685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A295-FC42-ADEB-51E6361EBDE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Sheet1!$A$18:$A$22</c:f>
              <c:numCache>
                <c:formatCode>General</c:formatCode>
                <c:ptCount val="5"/>
                <c:pt idx="0">
                  <c:v>2017</c:v>
                </c:pt>
                <c:pt idx="1">
                  <c:v>2018</c:v>
                </c:pt>
                <c:pt idx="2">
                  <c:v>2019</c:v>
                </c:pt>
                <c:pt idx="3">
                  <c:v>2020</c:v>
                </c:pt>
                <c:pt idx="4">
                  <c:v>2021</c:v>
                </c:pt>
              </c:numCache>
            </c:numRef>
          </c:cat>
          <c:val>
            <c:numRef>
              <c:f>Sheet1!$D$18:$D$22</c:f>
              <c:numCache>
                <c:formatCode>0%</c:formatCode>
                <c:ptCount val="5"/>
                <c:pt idx="0">
                  <c:v>7.0000000000000034E-2</c:v>
                </c:pt>
                <c:pt idx="1">
                  <c:v>9.0000000000000066E-2</c:v>
                </c:pt>
                <c:pt idx="2">
                  <c:v>5.0000000000000024E-2</c:v>
                </c:pt>
                <c:pt idx="3">
                  <c:v>0.11000000000000003</c:v>
                </c:pt>
                <c:pt idx="4">
                  <c:v>0.11000000000000003</c:v>
                </c:pt>
              </c:numCache>
            </c:numRef>
          </c:val>
          <c:smooth val="0"/>
          <c:extLst>
            <c:ext xmlns:c16="http://schemas.microsoft.com/office/drawing/2014/chart" uri="{C3380CC4-5D6E-409C-BE32-E72D297353CC}">
              <c16:uniqueId val="{00000002-A295-FC42-ADEB-51E6361EBDE4}"/>
            </c:ext>
          </c:extLst>
        </c:ser>
        <c:ser>
          <c:idx val="3"/>
          <c:order val="3"/>
          <c:tx>
            <c:strRef>
              <c:f>Sheet1!$E$17</c:f>
              <c:strCache>
                <c:ptCount val="1"/>
                <c:pt idx="0">
                  <c:v>Cannabis </c:v>
                </c:pt>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Sheet1!$A$18:$A$22</c:f>
              <c:numCache>
                <c:formatCode>General</c:formatCode>
                <c:ptCount val="5"/>
                <c:pt idx="0">
                  <c:v>2017</c:v>
                </c:pt>
                <c:pt idx="1">
                  <c:v>2018</c:v>
                </c:pt>
                <c:pt idx="2">
                  <c:v>2019</c:v>
                </c:pt>
                <c:pt idx="3">
                  <c:v>2020</c:v>
                </c:pt>
                <c:pt idx="4">
                  <c:v>2021</c:v>
                </c:pt>
              </c:numCache>
            </c:numRef>
          </c:cat>
          <c:val>
            <c:numRef>
              <c:f>Sheet1!$E$18:$E$22</c:f>
              <c:numCache>
                <c:formatCode>0%</c:formatCode>
                <c:ptCount val="5"/>
                <c:pt idx="0">
                  <c:v>0.14000000000000001</c:v>
                </c:pt>
                <c:pt idx="1">
                  <c:v>0.13</c:v>
                </c:pt>
                <c:pt idx="2">
                  <c:v>0.14000000000000001</c:v>
                </c:pt>
                <c:pt idx="3">
                  <c:v>0.15000000000000016</c:v>
                </c:pt>
                <c:pt idx="4">
                  <c:v>0.14000000000000001</c:v>
                </c:pt>
              </c:numCache>
            </c:numRef>
          </c:val>
          <c:smooth val="0"/>
          <c:extLst>
            <c:ext xmlns:c16="http://schemas.microsoft.com/office/drawing/2014/chart" uri="{C3380CC4-5D6E-409C-BE32-E72D297353CC}">
              <c16:uniqueId val="{00000003-A295-FC42-ADEB-51E6361EBDE4}"/>
            </c:ext>
          </c:extLst>
        </c:ser>
        <c:dLbls>
          <c:showLegendKey val="0"/>
          <c:showVal val="1"/>
          <c:showCatName val="0"/>
          <c:showSerName val="0"/>
          <c:showPercent val="0"/>
          <c:showBubbleSize val="0"/>
        </c:dLbls>
        <c:smooth val="0"/>
        <c:axId val="131102592"/>
        <c:axId val="131104128"/>
      </c:lineChart>
      <c:catAx>
        <c:axId val="13110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31104128"/>
        <c:crosses val="autoZero"/>
        <c:auto val="1"/>
        <c:lblAlgn val="ctr"/>
        <c:lblOffset val="100"/>
        <c:noMultiLvlLbl val="0"/>
      </c:catAx>
      <c:valAx>
        <c:axId val="131104128"/>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311025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Century Gothic" panose="020B050202020202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'[NDTRS data.xlsx]Sheet1'!$B$1</c:f>
              <c:strCache>
                <c:ptCount val="1"/>
                <c:pt idx="0">
                  <c:v>Heroin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'[NDTRS data.xlsx]Sheet1'!$A$2:$A$6</c:f>
              <c:numCache>
                <c:formatCode>General</c:formatCode>
                <c:ptCount val="5"/>
                <c:pt idx="0">
                  <c:v>2017</c:v>
                </c:pt>
                <c:pt idx="1">
                  <c:v>2018</c:v>
                </c:pt>
                <c:pt idx="2">
                  <c:v>2019</c:v>
                </c:pt>
                <c:pt idx="3">
                  <c:v>2020</c:v>
                </c:pt>
                <c:pt idx="4">
                  <c:v>2021</c:v>
                </c:pt>
              </c:numCache>
            </c:numRef>
          </c:cat>
          <c:val>
            <c:numRef>
              <c:f>'[NDTRS data.xlsx]Sheet1'!$B$2:$B$6</c:f>
              <c:numCache>
                <c:formatCode>0%</c:formatCode>
                <c:ptCount val="5"/>
                <c:pt idx="0">
                  <c:v>0.36000000000000032</c:v>
                </c:pt>
                <c:pt idx="1">
                  <c:v>0.38000000000000039</c:v>
                </c:pt>
                <c:pt idx="2">
                  <c:v>0.34</c:v>
                </c:pt>
                <c:pt idx="3">
                  <c:v>0.35000000000000031</c:v>
                </c:pt>
                <c:pt idx="4">
                  <c:v>0.28000000000000008</c:v>
                </c:pt>
              </c:numCache>
            </c:numRef>
          </c:val>
          <c:smooth val="0"/>
          <c:extLst>
            <c:ext xmlns:c16="http://schemas.microsoft.com/office/drawing/2014/chart" uri="{C3380CC4-5D6E-409C-BE32-E72D297353CC}">
              <c16:uniqueId val="{00000000-9131-1342-BCA2-2D0BC7AB6BD3}"/>
            </c:ext>
          </c:extLst>
        </c:ser>
        <c:ser>
          <c:idx val="1"/>
          <c:order val="1"/>
          <c:tx>
            <c:strRef>
              <c:f>'[NDTRS data.xlsx]Sheet1'!$C$1</c:f>
              <c:strCache>
                <c:ptCount val="1"/>
                <c:pt idx="0">
                  <c:v>Cocaine </c:v>
                </c:pt>
              </c:strCache>
            </c:strRef>
          </c:tx>
          <c:spPr>
            <a:ln w="28575" cap="rnd">
              <a:solidFill>
                <a:schemeClr val="accent2"/>
              </a:solidFill>
              <a:round/>
            </a:ln>
            <a:effectLst/>
          </c:spPr>
          <c:marker>
            <c:symbol val="none"/>
          </c:marker>
          <c:dLbls>
            <c:dLbl>
              <c:idx val="2"/>
              <c:layout>
                <c:manualLayout>
                  <c:x val="-4.9763998250218877E-2"/>
                  <c:y val="4.1076480023330461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131-1342-BCA2-2D0BC7AB6BD3}"/>
                </c:ext>
              </c:extLst>
            </c:dLbl>
            <c:dLbl>
              <c:idx val="3"/>
              <c:layout>
                <c:manualLayout>
                  <c:x val="-5.2541776027996499E-2"/>
                  <c:y val="4.5706109652960014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9131-1342-BCA2-2D0BC7AB6BD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Century Gothic" panose="020B050202020202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'[NDTRS data.xlsx]Sheet1'!$A$2:$A$6</c:f>
              <c:numCache>
                <c:formatCode>General</c:formatCode>
                <c:ptCount val="5"/>
                <c:pt idx="0">
                  <c:v>2017</c:v>
                </c:pt>
                <c:pt idx="1">
                  <c:v>2018</c:v>
                </c:pt>
                <c:pt idx="2">
                  <c:v>2019</c:v>
                </c:pt>
                <c:pt idx="3">
                  <c:v>2020</c:v>
                </c:pt>
                <c:pt idx="4">
                  <c:v>2021</c:v>
                </c:pt>
              </c:numCache>
            </c:numRef>
          </c:cat>
          <c:val>
            <c:numRef>
              <c:f>'[NDTRS data.xlsx]Sheet1'!$C$2:$C$6</c:f>
              <c:numCache>
                <c:formatCode>0%</c:formatCode>
                <c:ptCount val="5"/>
                <c:pt idx="0">
                  <c:v>0.28000000000000008</c:v>
                </c:pt>
                <c:pt idx="1">
                  <c:v>0.28000000000000008</c:v>
                </c:pt>
                <c:pt idx="2">
                  <c:v>0.33000000000000046</c:v>
                </c:pt>
                <c:pt idx="3">
                  <c:v>0.33000000000000046</c:v>
                </c:pt>
                <c:pt idx="4">
                  <c:v>0.37000000000000033</c:v>
                </c:pt>
              </c:numCache>
            </c:numRef>
          </c:val>
          <c:smooth val="0"/>
          <c:extLst>
            <c:ext xmlns:c16="http://schemas.microsoft.com/office/drawing/2014/chart" uri="{C3380CC4-5D6E-409C-BE32-E72D297353CC}">
              <c16:uniqueId val="{00000003-9131-1342-BCA2-2D0BC7AB6BD3}"/>
            </c:ext>
          </c:extLst>
        </c:ser>
        <c:dLbls>
          <c:showLegendKey val="0"/>
          <c:showVal val="1"/>
          <c:showCatName val="0"/>
          <c:showSerName val="0"/>
          <c:showPercent val="0"/>
          <c:showBubbleSize val="0"/>
        </c:dLbls>
        <c:smooth val="0"/>
        <c:axId val="131041536"/>
        <c:axId val="131047424"/>
      </c:lineChart>
      <c:catAx>
        <c:axId val="131041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31047424"/>
        <c:crosses val="autoZero"/>
        <c:auto val="1"/>
        <c:lblAlgn val="ctr"/>
        <c:lblOffset val="100"/>
        <c:noMultiLvlLbl val="0"/>
      </c:catAx>
      <c:valAx>
        <c:axId val="131047424"/>
        <c:scaling>
          <c:orientation val="minMax"/>
        </c:scaling>
        <c:delete val="0"/>
        <c:axPos val="l"/>
        <c:majorGridlines>
          <c:spPr>
            <a:ln w="9525" cap="flat" cmpd="sng" algn="ctr">
              <a:no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3104153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1000" b="0">
          <a:latin typeface="Century Gothic" panose="020B0502020202020204"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u+jwvzMCtqSRBGvcoQZmt7atqw==">AMUW2mVID0ZhGn6BI/CyX6VRa3b+JPOnosJdF8NzYkk9qrbdQWI4fQ4I0cxaLXzHBKh3f7YiLDDwUY8vppiSzhNWFOpmKHAP3tm+5rNrI1a61ALT6vUgNqM=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F5E427-1039-4C4D-90B5-BA1E3896B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Quality Matters</dc:creator>
  <cp:lastModifiedBy>Administrator</cp:lastModifiedBy>
  <cp:revision>2</cp:revision>
  <cp:lastPrinted>2023-04-11T14:23:00Z</cp:lastPrinted>
  <dcterms:created xsi:type="dcterms:W3CDTF">2023-04-12T11:57:00Z</dcterms:created>
  <dcterms:modified xsi:type="dcterms:W3CDTF">2023-04-12T11:57:00Z</dcterms:modified>
</cp:coreProperties>
</file>